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F2" w:rsidRPr="009E4AC3" w:rsidRDefault="002B37F2" w:rsidP="002B37F2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1E60BE">
        <w:rPr>
          <w:rFonts w:ascii="Georgia" w:eastAsia="Times New Roman" w:hAnsi="Georgia"/>
          <w:b/>
          <w:bCs/>
          <w:i/>
          <w:iCs/>
          <w:color w:val="4F6228"/>
          <w:sz w:val="44"/>
          <w:szCs w:val="44"/>
          <w:u w:val="single"/>
          <w:bdr w:val="none" w:sz="0" w:space="0" w:color="auto" w:frame="1"/>
          <w:lang w:eastAsia="ru-RU"/>
        </w:rPr>
        <w:t>Если ребёнок не говорит</w:t>
      </w:r>
      <w:r w:rsidRPr="001E60BE">
        <w:rPr>
          <w:rFonts w:ascii="Georgia" w:eastAsia="Times New Roman" w:hAnsi="Georgia"/>
          <w:b/>
          <w:bCs/>
          <w:i/>
          <w:iCs/>
          <w:color w:val="4F6228"/>
          <w:sz w:val="44"/>
          <w:szCs w:val="44"/>
          <w:bdr w:val="none" w:sz="0" w:space="0" w:color="auto" w:frame="1"/>
          <w:lang w:eastAsia="ru-RU"/>
        </w:rPr>
        <w:t>?</w:t>
      </w:r>
      <w:r w:rsidRPr="001E60BE">
        <w:rPr>
          <w:rFonts w:ascii="Times New Roman" w:hAnsi="Times New Roman"/>
          <w:noProof/>
          <w:color w:val="4F6228"/>
          <w:sz w:val="52"/>
          <w:szCs w:val="52"/>
          <w:lang w:eastAsia="ru-RU"/>
        </w:rPr>
        <w:t xml:space="preserve"> </w:t>
      </w:r>
      <w:r>
        <w:rPr>
          <w:rFonts w:ascii="Georgia" w:eastAsia="Times New Roman" w:hAnsi="Georgia"/>
          <w:b/>
          <w:i/>
          <w:noProof/>
          <w:color w:val="000000"/>
          <w:sz w:val="44"/>
          <w:szCs w:val="44"/>
          <w:bdr w:val="none" w:sz="0" w:space="0" w:color="auto" w:frame="1"/>
          <w:lang w:eastAsia="ru-RU"/>
        </w:rPr>
        <w:drawing>
          <wp:inline distT="0" distB="0" distL="0" distR="0">
            <wp:extent cx="1325880" cy="1813560"/>
            <wp:effectExtent l="19050" t="0" r="7620" b="0"/>
            <wp:docPr id="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7F2" w:rsidRPr="009E4AC3" w:rsidRDefault="002B37F2" w:rsidP="002B37F2">
      <w:pPr>
        <w:spacing w:after="0" w:line="240" w:lineRule="atLeast"/>
        <w:ind w:right="75"/>
        <w:textAlignment w:val="baseline"/>
        <w:rPr>
          <w:rFonts w:ascii="Georgia" w:eastAsia="Times New Roman" w:hAnsi="Georgia"/>
          <w:i/>
          <w:iCs/>
          <w:color w:val="000000"/>
          <w:sz w:val="33"/>
          <w:szCs w:val="33"/>
          <w:bdr w:val="none" w:sz="0" w:space="0" w:color="auto" w:frame="1"/>
          <w:lang w:eastAsia="ru-RU"/>
        </w:rPr>
      </w:pPr>
      <w:r w:rsidRPr="009E4AC3">
        <w:rPr>
          <w:rFonts w:ascii="Georgia" w:eastAsia="Times New Roman" w:hAnsi="Georgia"/>
          <w:i/>
          <w:iCs/>
          <w:color w:val="000000"/>
          <w:sz w:val="33"/>
          <w:szCs w:val="33"/>
          <w:bdr w:val="none" w:sz="0" w:space="0" w:color="auto" w:frame="1"/>
          <w:lang w:eastAsia="ru-RU"/>
        </w:rPr>
        <w:t xml:space="preserve">             (рекомендации родителям)</w:t>
      </w:r>
    </w:p>
    <w:p w:rsidR="002B37F2" w:rsidRPr="009E4AC3" w:rsidRDefault="002B37F2" w:rsidP="002B37F2">
      <w:pPr>
        <w:spacing w:after="0" w:line="240" w:lineRule="atLeast"/>
        <w:ind w:right="75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2B37F2" w:rsidRPr="009E4AC3" w:rsidRDefault="002B37F2" w:rsidP="002B37F2">
      <w:pPr>
        <w:spacing w:after="0" w:line="240" w:lineRule="atLeast"/>
        <w:ind w:right="75"/>
        <w:jc w:val="both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9E4AC3">
        <w:rPr>
          <w:rFonts w:ascii="Times New Roman" w:eastAsia="Times New Roman" w:hAnsi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     </w:t>
      </w:r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С каждым годом жизнь предъявляет все более высокие требования не только к взрослым, но и к детям. Неуклонно растет объем знаний, и педагоги хотят, чтобы усвоение этих знаний было не механическим, а осмысленным. Для того чтобы помочь детям справиться с ожидающими их сложными задачами, нужно позаботиться о своевременном и полноценном формировании у них речи. Довольно часто к логопеду обращаются родители с жалобами на задержку речевого развития ребенка на данный возрастной период. Какую же работу нужно проводить с этими детьми? Как же им помочь?</w:t>
      </w:r>
    </w:p>
    <w:p w:rsidR="002B37F2" w:rsidRPr="009E4AC3" w:rsidRDefault="002B37F2" w:rsidP="002B37F2">
      <w:pPr>
        <w:spacing w:after="0" w:line="240" w:lineRule="atLeast"/>
        <w:ind w:right="75"/>
        <w:jc w:val="both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     Для преодоления задержки речевого развития, работа должна проводиться в комплексе. В последнее время ученые доказали, что развитие мелкой мускулатуры пальчиков, имеет исключительное значение для формирования речи. </w:t>
      </w:r>
      <w:proofErr w:type="gramStart"/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В Институте нейрохирургии записывали биотоки мозга у детей и обнаружили: если ребенок производит ритмичные движения пальцами правой руки, то в левом полушарии у него возникает усиление согласованных электрических колебаний, именно в левой лобной области, где находится двигательная речевая зона и центр </w:t>
      </w:r>
      <w:proofErr w:type="spellStart"/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Брока</w:t>
      </w:r>
      <w:proofErr w:type="spellEnd"/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, а также в височной области, где расположен центр </w:t>
      </w:r>
      <w:proofErr w:type="spellStart"/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Вернике</w:t>
      </w:r>
      <w:proofErr w:type="spellEnd"/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, </w:t>
      </w:r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т. е. сенсорная речевая зона.</w:t>
      </w:r>
      <w:proofErr w:type="gramEnd"/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 xml:space="preserve">   Связь функции кисти руки и речи оказались настолько тесной, что тренировку пальцев рук считают мощным физиологическим стимулом развития речи. Очень важно общение ребенка с людьми и окружающим миром, где ребенок получает поведенческий материал для подражания.</w:t>
      </w:r>
    </w:p>
    <w:p w:rsidR="002B37F2" w:rsidRPr="009E4AC3" w:rsidRDefault="002B37F2" w:rsidP="002B37F2">
      <w:pPr>
        <w:spacing w:after="0" w:line="240" w:lineRule="atLeast"/>
        <w:ind w:right="75"/>
        <w:jc w:val="both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       Речь является не врожденной способностью ребенка, приобретенной. Поэтому надо, чтобы речь окружающих была образцом для подражания. В общении с ребенком нельзя «подделываться» под детскую речь, произносить слова искаженно, употреблять усеченные слова. Ребенок должен видеть и слышать вашу мимику, артикуляции. И подражать вам.</w:t>
      </w:r>
    </w:p>
    <w:p w:rsidR="002B37F2" w:rsidRPr="009E4AC3" w:rsidRDefault="002B37F2" w:rsidP="002B37F2">
      <w:pPr>
        <w:spacing w:before="150" w:after="0" w:line="240" w:lineRule="atLeast"/>
        <w:ind w:right="75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9E4AC3">
        <w:rPr>
          <w:rFonts w:ascii="Georgia" w:eastAsia="Times New Roman" w:hAnsi="Georgia"/>
          <w:color w:val="000000"/>
          <w:sz w:val="36"/>
          <w:szCs w:val="36"/>
          <w:lang w:eastAsia="ru-RU"/>
        </w:rPr>
        <w:t>          </w:t>
      </w:r>
    </w:p>
    <w:p w:rsidR="001E6C85" w:rsidRDefault="001E6C85"/>
    <w:sectPr w:rsidR="001E6C85" w:rsidSect="001E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2B37F2"/>
    <w:rsid w:val="001E6C85"/>
    <w:rsid w:val="002B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>diakov.net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2025-09-24T03:54:00Z</dcterms:created>
  <dcterms:modified xsi:type="dcterms:W3CDTF">2025-09-24T04:00:00Z</dcterms:modified>
</cp:coreProperties>
</file>