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DE4311" w:rsidRDefault="003A7DCE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AA3C75" w:rsidRPr="00DE4311">
              <w:rPr>
                <w:rFonts w:ascii="Times New Roman" w:hAnsi="Times New Roman" w:cs="Times New Roman"/>
                <w:sz w:val="26"/>
                <w:szCs w:val="26"/>
              </w:rPr>
              <w:t>истории</w:t>
            </w:r>
            <w:r w:rsidR="00EB6BEE"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3A7DCE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3A7DCE" w:rsidRPr="00DE4311" w:rsidRDefault="003A7DCE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</w:t>
            </w:r>
            <w:r w:rsidR="00925A6C"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45 000 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Преподаватель НВП иТП в классах с русским и казахским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Старший вожатый (на время декрета)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925A6C" w:rsidRPr="00DE4311" w:rsidRDefault="00053C55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Педагог-ассистент</w:t>
            </w:r>
          </w:p>
        </w:tc>
        <w:tc>
          <w:tcPr>
            <w:tcW w:w="1713" w:type="dxa"/>
          </w:tcPr>
          <w:p w:rsidR="00925A6C" w:rsidRPr="003607E4" w:rsidRDefault="003607E4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925A6C"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612" w:type="dxa"/>
          </w:tcPr>
          <w:p w:rsidR="00925A6C" w:rsidRPr="00DE4311" w:rsidRDefault="00DE4311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2 ставки по 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истории 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физики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химии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7 человек по 13/14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географии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1051DD" w:rsidRPr="00B36D81" w:rsidTr="00205EB9">
        <w:tc>
          <w:tcPr>
            <w:tcW w:w="4451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713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участников или призеров или победителей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Национальной премии "Учитель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воспитывает в обучающемся уважительное отношение к педагогу, учит соблюдать деловой стиль отношения и речевой этикет путем вежливого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обращения по имени и отчеству педагога или прямого обращения "учитель/мұғалім";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Заместитель директора по УР</w:t>
      </w: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осуществляет контроль за учебной нагрузкой обучающихся, составляет расписание учебных занятий,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курсов и занятий вариативного компонента рабочего учебного плана;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12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DE4311" w:rsidRPr="00B36D81" w:rsidRDefault="00DE4311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способствовать формированию общей культуры обучающегося и его социализации;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5) "педагог-мастер":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DE4311" w:rsidRPr="00B36D81" w:rsidRDefault="00DE4311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средств защиты по гражданской обороне в экстремальных ситуациях;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71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22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выполнять под руководством учителя рекомендации ПМПК, школьного консилиума и организовать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оказывает помощь детям с особыми образовательными потребностями во время организованной учебной и иной деятельности в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2150"/>
            <w:bookmarkEnd w:id="3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3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24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25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8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3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E4311">
        <w:rPr>
          <w:rFonts w:ascii="Times New Roman" w:hAnsi="Times New Roman" w:cs="Times New Roman"/>
          <w:sz w:val="28"/>
          <w:szCs w:val="28"/>
        </w:rPr>
        <w:t>5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EB6BEE">
        <w:rPr>
          <w:rFonts w:ascii="Times New Roman" w:hAnsi="Times New Roman" w:cs="Times New Roman"/>
          <w:sz w:val="28"/>
          <w:szCs w:val="28"/>
        </w:rPr>
        <w:t>.24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 w:rsidR="00DE4311">
        <w:rPr>
          <w:rFonts w:ascii="Times New Roman" w:hAnsi="Times New Roman" w:cs="Times New Roman"/>
          <w:sz w:val="28"/>
          <w:szCs w:val="28"/>
        </w:rPr>
        <w:t>23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EB6BEE">
        <w:rPr>
          <w:rFonts w:ascii="Times New Roman" w:hAnsi="Times New Roman" w:cs="Times New Roman"/>
          <w:sz w:val="28"/>
          <w:szCs w:val="28"/>
        </w:rPr>
        <w:t>4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31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32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r w:rsidRPr="002C7D9B">
        <w:rPr>
          <w:color w:val="000000"/>
          <w:spacing w:val="2"/>
          <w:sz w:val="28"/>
          <w:szCs w:val="28"/>
        </w:rPr>
        <w:t>айелтс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r w:rsidRPr="002C7D9B">
        <w:rPr>
          <w:color w:val="000000"/>
          <w:spacing w:val="2"/>
          <w:sz w:val="28"/>
          <w:szCs w:val="28"/>
        </w:rPr>
        <w:t>тойфл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>nternet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lastRenderedPageBreak/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33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13) видеопрезентация (самопрезентация)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53C55"/>
    <w:rsid w:val="000B433C"/>
    <w:rsid w:val="001051DD"/>
    <w:rsid w:val="00135CBB"/>
    <w:rsid w:val="002C7D9B"/>
    <w:rsid w:val="003538CD"/>
    <w:rsid w:val="003607E4"/>
    <w:rsid w:val="003A7DCE"/>
    <w:rsid w:val="004578D5"/>
    <w:rsid w:val="006B4FBF"/>
    <w:rsid w:val="007749D8"/>
    <w:rsid w:val="00812C3C"/>
    <w:rsid w:val="00925A6C"/>
    <w:rsid w:val="009C5D2B"/>
    <w:rsid w:val="00AA3C75"/>
    <w:rsid w:val="00B36D81"/>
    <w:rsid w:val="00B73403"/>
    <w:rsid w:val="00BE3DF3"/>
    <w:rsid w:val="00CE2946"/>
    <w:rsid w:val="00D27CE0"/>
    <w:rsid w:val="00D75036"/>
    <w:rsid w:val="00D93948"/>
    <w:rsid w:val="00DA63D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DA8D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Z020000345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Z070000319_" TargetMode="External"/><Relationship Id="rId33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hyperlink" Target="https://adilet.zan.kz/rus/docs/Z15000004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B940001400_" TargetMode="External"/><Relationship Id="rId32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K950001000_" TargetMode="External"/><Relationship Id="rId28" Type="http://schemas.openxmlformats.org/officeDocument/2006/relationships/hyperlink" Target="https://adilet.zan.kz/rus/docs/Z020000343_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1900000293" TargetMode="External"/><Relationship Id="rId31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hyperlink" Target="https://adilet.zan.kz/rus/docs/Z080000114_" TargetMode="External"/><Relationship Id="rId30" Type="http://schemas.openxmlformats.org/officeDocument/2006/relationships/hyperlink" Target="https://adilet.zan.kz/rus/docs/Z970000151_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21</Pages>
  <Words>5828</Words>
  <Characters>33224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26</cp:revision>
  <cp:lastPrinted>2023-11-13T09:05:00Z</cp:lastPrinted>
  <dcterms:created xsi:type="dcterms:W3CDTF">2023-06-29T03:15:00Z</dcterms:created>
  <dcterms:modified xsi:type="dcterms:W3CDTF">2024-08-15T07:17:00Z</dcterms:modified>
</cp:coreProperties>
</file>