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B79" w:rsidRPr="00490B79" w:rsidRDefault="00490B79" w:rsidP="00490B79">
      <w:pPr>
        <w:spacing w:after="0" w:line="240" w:lineRule="auto"/>
        <w:ind w:left="-567" w:firstLine="425"/>
        <w:jc w:val="center"/>
        <w:outlineLvl w:val="0"/>
        <w:rPr>
          <w:rFonts w:ascii="RobotoSlab-Bold" w:eastAsia="Times New Roman" w:hAnsi="RobotoSlab-Bold" w:cs="Times New Roman"/>
          <w:b/>
          <w:kern w:val="36"/>
          <w:sz w:val="30"/>
          <w:szCs w:val="24"/>
          <w:lang w:val="kk-KZ" w:eastAsia="ru-RU"/>
        </w:rPr>
      </w:pPr>
      <w:r w:rsidRPr="00490B79">
        <w:rPr>
          <w:rFonts w:ascii="RobotoSlab-Bold" w:eastAsia="Times New Roman" w:hAnsi="RobotoSlab-Bold" w:cs="Times New Roman"/>
          <w:b/>
          <w:kern w:val="36"/>
          <w:sz w:val="30"/>
          <w:szCs w:val="24"/>
          <w:lang w:val="kk-KZ" w:eastAsia="ru-RU"/>
        </w:rPr>
        <w:t>Миницентр «Балбөбек»</w:t>
      </w: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center"/>
        <w:outlineLvl w:val="0"/>
        <w:rPr>
          <w:rFonts w:ascii="RobotoSlab-Bold" w:eastAsia="Times New Roman" w:hAnsi="RobotoSlab-Bold" w:cs="Times New Roman"/>
          <w:b/>
          <w:kern w:val="36"/>
          <w:sz w:val="74"/>
          <w:szCs w:val="24"/>
          <w:lang w:eastAsia="ru-RU"/>
        </w:rPr>
      </w:pPr>
    </w:p>
    <w:p w:rsidR="00490B79" w:rsidRPr="00490B79" w:rsidRDefault="00490B79" w:rsidP="00490B79">
      <w:pPr>
        <w:spacing w:after="0" w:line="240" w:lineRule="auto"/>
        <w:ind w:left="-567" w:firstLine="425"/>
        <w:jc w:val="center"/>
        <w:outlineLvl w:val="0"/>
        <w:rPr>
          <w:rFonts w:ascii="RobotoSlab-Bold" w:eastAsia="Times New Roman" w:hAnsi="RobotoSlab-Bold" w:cs="Times New Roman"/>
          <w:b/>
          <w:kern w:val="36"/>
          <w:sz w:val="74"/>
          <w:szCs w:val="24"/>
          <w:lang w:val="kk-KZ" w:eastAsia="ru-RU"/>
        </w:rPr>
      </w:pPr>
    </w:p>
    <w:p w:rsidR="00490B79" w:rsidRPr="00490B79" w:rsidRDefault="00490B79" w:rsidP="00490B79">
      <w:pPr>
        <w:spacing w:after="0" w:line="240" w:lineRule="auto"/>
        <w:ind w:left="-567" w:firstLine="425"/>
        <w:jc w:val="center"/>
        <w:outlineLvl w:val="0"/>
        <w:rPr>
          <w:rFonts w:ascii="RobotoSlab-Bold" w:eastAsia="Times New Roman" w:hAnsi="RobotoSlab-Bold" w:cs="Times New Roman"/>
          <w:b/>
          <w:kern w:val="36"/>
          <w:sz w:val="74"/>
          <w:szCs w:val="24"/>
          <w:lang w:val="kk-KZ" w:eastAsia="ru-RU"/>
        </w:rPr>
      </w:pPr>
    </w:p>
    <w:p w:rsidR="00490B79" w:rsidRPr="00490B79" w:rsidRDefault="00490B79" w:rsidP="00490B79">
      <w:pPr>
        <w:spacing w:after="0" w:line="240" w:lineRule="auto"/>
        <w:ind w:left="-567" w:firstLine="425"/>
        <w:jc w:val="center"/>
        <w:outlineLvl w:val="0"/>
        <w:rPr>
          <w:rFonts w:ascii="RobotoSlab-Bold" w:eastAsia="Times New Roman" w:hAnsi="RobotoSlab-Bold" w:cs="Times New Roman"/>
          <w:b/>
          <w:kern w:val="36"/>
          <w:sz w:val="74"/>
          <w:szCs w:val="24"/>
          <w:lang w:val="kk-KZ" w:eastAsia="ru-RU"/>
        </w:rPr>
      </w:pPr>
    </w:p>
    <w:p w:rsidR="00490B79" w:rsidRPr="00490B79" w:rsidRDefault="00490B79" w:rsidP="00490B79">
      <w:pPr>
        <w:spacing w:after="0" w:line="240" w:lineRule="auto"/>
        <w:ind w:left="-567" w:firstLine="425"/>
        <w:jc w:val="center"/>
        <w:outlineLvl w:val="0"/>
        <w:rPr>
          <w:rFonts w:ascii="RobotoSlab-Bold" w:eastAsia="Times New Roman" w:hAnsi="RobotoSlab-Bold" w:cs="Times New Roman"/>
          <w:b/>
          <w:kern w:val="36"/>
          <w:sz w:val="74"/>
          <w:szCs w:val="24"/>
          <w:lang w:val="kk-KZ" w:eastAsia="ru-RU"/>
        </w:rPr>
      </w:pPr>
      <w:r w:rsidRPr="00490B79">
        <w:rPr>
          <w:rFonts w:ascii="RobotoSlab-Bold" w:eastAsia="Times New Roman" w:hAnsi="RobotoSlab-Bold" w:cs="Times New Roman"/>
          <w:b/>
          <w:kern w:val="36"/>
          <w:sz w:val="74"/>
          <w:szCs w:val="24"/>
          <w:lang w:val="kk-KZ" w:eastAsia="ru-RU"/>
        </w:rPr>
        <w:t>Тема: «</w:t>
      </w:r>
      <w:r w:rsidRPr="00490B79">
        <w:rPr>
          <w:rFonts w:ascii="RobotoSlab-Bold" w:eastAsia="Times New Roman" w:hAnsi="RobotoSlab-Bold" w:cs="Times New Roman"/>
          <w:b/>
          <w:kern w:val="36"/>
          <w:sz w:val="74"/>
          <w:szCs w:val="24"/>
          <w:lang w:eastAsia="ru-RU"/>
        </w:rPr>
        <w:t>Проба Манту</w:t>
      </w:r>
      <w:r w:rsidRPr="00490B79">
        <w:rPr>
          <w:rFonts w:ascii="RobotoSlab-Bold" w:eastAsia="Times New Roman" w:hAnsi="RobotoSlab-Bold" w:cs="Times New Roman"/>
          <w:b/>
          <w:kern w:val="36"/>
          <w:sz w:val="74"/>
          <w:szCs w:val="24"/>
          <w:lang w:val="kk-KZ" w:eastAsia="ru-RU"/>
        </w:rPr>
        <w:t>»</w:t>
      </w: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val="kk-KZ"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val="kk-KZ"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val="kk-KZ"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val="kk-KZ"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val="kk-KZ"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val="kk-KZ"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val="kk-KZ"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val="kk-KZ"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val="kk-KZ"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val="kk-KZ"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val="kk-KZ"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spacing w:after="0" w:line="240" w:lineRule="auto"/>
        <w:ind w:left="-567" w:firstLine="425"/>
        <w:jc w:val="both"/>
        <w:outlineLvl w:val="0"/>
        <w:rPr>
          <w:rFonts w:ascii="RobotoSlab-Bold" w:eastAsia="Times New Roman" w:hAnsi="RobotoSlab-Bold" w:cs="Times New Roman"/>
          <w:b/>
          <w:kern w:val="36"/>
          <w:sz w:val="24"/>
          <w:szCs w:val="24"/>
          <w:lang w:eastAsia="ru-RU"/>
        </w:rPr>
      </w:pPr>
    </w:p>
    <w:p w:rsidR="00490B79" w:rsidRPr="00490B79" w:rsidRDefault="00490B79" w:rsidP="00490B79">
      <w:pPr>
        <w:tabs>
          <w:tab w:val="left" w:pos="3700"/>
        </w:tabs>
        <w:spacing w:after="0" w:line="240" w:lineRule="auto"/>
        <w:ind w:left="-567" w:firstLine="425"/>
        <w:jc w:val="both"/>
        <w:outlineLvl w:val="0"/>
        <w:rPr>
          <w:rFonts w:ascii="RobotoSlab-Regular" w:eastAsia="Times New Roman" w:hAnsi="RobotoSlab-Regular" w:cs="Times New Roman"/>
          <w:sz w:val="24"/>
          <w:szCs w:val="24"/>
          <w:lang w:eastAsia="ru-RU"/>
        </w:rPr>
      </w:pPr>
      <w:r w:rsidRPr="00490B79">
        <w:rPr>
          <w:rFonts w:ascii="RobotoSlab-Regular" w:eastAsia="Times New Roman" w:hAnsi="RobotoSlab-Regular" w:cs="Times New Roman"/>
          <w:sz w:val="24"/>
          <w:szCs w:val="24"/>
          <w:lang w:eastAsia="ru-RU"/>
        </w:rPr>
        <w:lastRenderedPageBreak/>
        <w:t>Реакция Манту – это метод исследования, с помощью которого врачи оценивают реакцию организма на попадание в него антигена возбудителя туберкулеза. </w:t>
      </w:r>
    </w:p>
    <w:p w:rsidR="00490B79" w:rsidRPr="00490B79" w:rsidRDefault="00490B79" w:rsidP="00490B79">
      <w:pPr>
        <w:spacing w:after="0" w:line="240" w:lineRule="auto"/>
        <w:ind w:left="-567" w:firstLine="425"/>
        <w:jc w:val="both"/>
        <w:rPr>
          <w:rFonts w:ascii="RobotoSlab-Regular" w:eastAsia="Times New Roman" w:hAnsi="RobotoSlab-Regular" w:cs="Times New Roman"/>
          <w:sz w:val="24"/>
          <w:szCs w:val="24"/>
          <w:lang w:eastAsia="ru-RU"/>
        </w:rPr>
      </w:pPr>
      <w:r w:rsidRPr="00490B79">
        <w:rPr>
          <w:rFonts w:ascii="RobotoSlab-Regular" w:eastAsia="Times New Roman" w:hAnsi="RobotoSlab-Regular" w:cs="Times New Roman"/>
          <w:sz w:val="24"/>
          <w:szCs w:val="24"/>
          <w:lang w:eastAsia="ru-RU"/>
        </w:rPr>
        <w:t xml:space="preserve">Прививка Манту используется для подтверждения диагноза туберкулёза и оценки эффективности лечения. В </w:t>
      </w:r>
      <w:proofErr w:type="spellStart"/>
      <w:r w:rsidRPr="00490B79">
        <w:rPr>
          <w:rFonts w:ascii="RobotoSlab-Regular" w:eastAsia="Times New Roman" w:hAnsi="RobotoSlab-Regular" w:cs="Times New Roman"/>
          <w:sz w:val="24"/>
          <w:szCs w:val="24"/>
          <w:lang w:eastAsia="ru-RU"/>
        </w:rPr>
        <w:t>Юсуповской</w:t>
      </w:r>
      <w:proofErr w:type="spellEnd"/>
      <w:r w:rsidRPr="00490B79">
        <w:rPr>
          <w:rFonts w:ascii="RobotoSlab-Regular" w:eastAsia="Times New Roman" w:hAnsi="RobotoSlab-Regular" w:cs="Times New Roman"/>
          <w:sz w:val="24"/>
          <w:szCs w:val="24"/>
          <w:lang w:eastAsia="ru-RU"/>
        </w:rPr>
        <w:t xml:space="preserve"> больнице для пробы Манту используют только препараты туберкулина, зарегистрированные в РФ. Выполняет пробу </w:t>
      </w:r>
      <w:proofErr w:type="gramStart"/>
      <w:r w:rsidRPr="00490B79">
        <w:rPr>
          <w:rFonts w:ascii="RobotoSlab-Regular" w:eastAsia="Times New Roman" w:hAnsi="RobotoSlab-Regular" w:cs="Times New Roman"/>
          <w:sz w:val="24"/>
          <w:szCs w:val="24"/>
          <w:lang w:eastAsia="ru-RU"/>
        </w:rPr>
        <w:t>Манту</w:t>
      </w:r>
      <w:proofErr w:type="gramEnd"/>
      <w:r w:rsidRPr="00490B79">
        <w:rPr>
          <w:rFonts w:ascii="RobotoSlab-Regular" w:eastAsia="Times New Roman" w:hAnsi="RobotoSlab-Regular" w:cs="Times New Roman"/>
          <w:sz w:val="24"/>
          <w:szCs w:val="24"/>
          <w:lang w:eastAsia="ru-RU"/>
        </w:rPr>
        <w:t xml:space="preserve"> специально обученная медицинская сестра, а результаты оценивает врач, который прошёл специальную подготовку.</w:t>
      </w:r>
    </w:p>
    <w:p w:rsidR="00490B79" w:rsidRPr="00490B79" w:rsidRDefault="00490B79" w:rsidP="00490B79">
      <w:pPr>
        <w:spacing w:after="0" w:line="240" w:lineRule="auto"/>
        <w:ind w:left="-567" w:firstLine="425"/>
        <w:jc w:val="both"/>
        <w:rPr>
          <w:rFonts w:ascii="RobotoSlab-Regular" w:eastAsia="Times New Roman" w:hAnsi="RobotoSlab-Regular" w:cs="Times New Roman"/>
          <w:sz w:val="24"/>
          <w:szCs w:val="24"/>
          <w:lang w:eastAsia="ru-RU"/>
        </w:rPr>
      </w:pPr>
      <w:r w:rsidRPr="00490B79">
        <w:rPr>
          <w:rFonts w:ascii="RobotoSlab-Regular" w:eastAsia="Times New Roman" w:hAnsi="RobotoSlab-Regular" w:cs="Times New Roman"/>
          <w:sz w:val="24"/>
          <w:szCs w:val="24"/>
          <w:lang w:eastAsia="ru-RU"/>
        </w:rPr>
        <w:t>Иногда тест люди называют «прививка Манту». Это некорректный термин, поскольку после введения туберкулина в организме пациента не вырабатываются антитела к микобактерии туберкулёза. Врачи оценивают реакцию организма на введение.</w:t>
      </w:r>
    </w:p>
    <w:p w:rsidR="00490B79" w:rsidRPr="00490B79" w:rsidRDefault="00490B79" w:rsidP="00490B79">
      <w:pPr>
        <w:spacing w:after="0" w:line="240" w:lineRule="auto"/>
        <w:ind w:left="-567" w:firstLine="425"/>
        <w:jc w:val="both"/>
        <w:rPr>
          <w:rFonts w:ascii="RobotoSlab-Regular" w:eastAsia="Times New Roman" w:hAnsi="RobotoSlab-Regular" w:cs="Times New Roman"/>
          <w:sz w:val="24"/>
          <w:szCs w:val="24"/>
          <w:lang w:eastAsia="ru-RU"/>
        </w:rPr>
      </w:pPr>
      <w:r w:rsidRPr="00490B79">
        <w:rPr>
          <w:rFonts w:ascii="RobotoSlab-Regular" w:eastAsia="Times New Roman" w:hAnsi="RobotoSlab-Regular" w:cs="Times New Roman"/>
          <w:sz w:val="24"/>
          <w:szCs w:val="24"/>
          <w:lang w:eastAsia="ru-RU"/>
        </w:rPr>
        <w:t>Туберкулин – это фильтрат убитой нагреванием культуры микобактерий туберкулеза человека и бычьего вида. Он очищен методом ультрафильтрации или иным способом, осажден трихлоруксусной кислотой, обработан этиловым спиртом и наркозным эфиром и растворён в стабилизирующем растворителе. Препарат представляет собой бесцветную прозрачную жидкость, которая не содержит осадка или посторонних примесей.</w:t>
      </w:r>
    </w:p>
    <w:p w:rsidR="00490B79" w:rsidRPr="00490B79" w:rsidRDefault="00490B79" w:rsidP="00490B79">
      <w:pPr>
        <w:spacing w:after="0" w:line="240" w:lineRule="auto"/>
        <w:ind w:left="-567" w:firstLine="425"/>
        <w:jc w:val="both"/>
        <w:rPr>
          <w:rFonts w:ascii="RobotoSlab-Regular" w:eastAsia="Times New Roman" w:hAnsi="RobotoSlab-Regular" w:cs="Times New Roman"/>
          <w:sz w:val="24"/>
          <w:szCs w:val="24"/>
          <w:lang w:eastAsia="ru-RU"/>
        </w:rPr>
      </w:pPr>
      <w:r w:rsidRPr="00490B79">
        <w:rPr>
          <w:rFonts w:ascii="RobotoSlab-Regular" w:eastAsia="Times New Roman" w:hAnsi="RobotoSlab-Regular" w:cs="Times New Roman"/>
          <w:sz w:val="24"/>
          <w:szCs w:val="24"/>
          <w:lang w:eastAsia="ru-RU"/>
        </w:rPr>
        <w:t>Действующая субстанция препарата (аллерген-</w:t>
      </w:r>
      <w:proofErr w:type="spellStart"/>
      <w:r w:rsidRPr="00490B79">
        <w:rPr>
          <w:rFonts w:ascii="RobotoSlab-Regular" w:eastAsia="Times New Roman" w:hAnsi="RobotoSlab-Regular" w:cs="Times New Roman"/>
          <w:sz w:val="24"/>
          <w:szCs w:val="24"/>
          <w:lang w:eastAsia="ru-RU"/>
        </w:rPr>
        <w:t>туберкулопротеин</w:t>
      </w:r>
      <w:proofErr w:type="spellEnd"/>
      <w:r w:rsidRPr="00490B79">
        <w:rPr>
          <w:rFonts w:ascii="RobotoSlab-Regular" w:eastAsia="Times New Roman" w:hAnsi="RobotoSlab-Regular" w:cs="Times New Roman"/>
          <w:sz w:val="24"/>
          <w:szCs w:val="24"/>
          <w:lang w:eastAsia="ru-RU"/>
        </w:rPr>
        <w:t>) при осуществлении внутрикожной туберкулиновой пробы вызывает у вакцинированного БЦЖ или инфицированного микобактериями туберкулёза организма специфическую аллергическую реакцию замедленного типа в виде местной реакции – инфильтрата (папулы) и покраснения.</w:t>
      </w:r>
    </w:p>
    <w:p w:rsidR="00490B79" w:rsidRPr="00490B79" w:rsidRDefault="00490B79" w:rsidP="00490B79">
      <w:pPr>
        <w:pStyle w:val="2"/>
        <w:spacing w:before="0" w:line="240" w:lineRule="auto"/>
        <w:ind w:left="-567" w:firstLine="425"/>
        <w:jc w:val="both"/>
        <w:rPr>
          <w:rFonts w:ascii="RobotoSlab-Bold" w:hAnsi="RobotoSlab-Bold"/>
          <w:bCs w:val="0"/>
          <w:color w:val="auto"/>
          <w:sz w:val="24"/>
          <w:szCs w:val="24"/>
        </w:rPr>
      </w:pPr>
      <w:r w:rsidRPr="00490B79">
        <w:rPr>
          <w:rFonts w:ascii="RobotoSlab-Bold" w:hAnsi="RobotoSlab-Bold"/>
          <w:bCs w:val="0"/>
          <w:color w:val="auto"/>
          <w:sz w:val="24"/>
          <w:szCs w:val="24"/>
        </w:rPr>
        <w:t>Для чего прививку на реакцию Манту</w:t>
      </w:r>
    </w:p>
    <w:p w:rsidR="00490B79" w:rsidRPr="00490B79" w:rsidRDefault="00490B79" w:rsidP="00490B79">
      <w:pPr>
        <w:pStyle w:val="a3"/>
        <w:spacing w:before="0" w:beforeAutospacing="0" w:after="0" w:afterAutospacing="0"/>
        <w:ind w:left="-567" w:firstLine="425"/>
        <w:jc w:val="both"/>
        <w:rPr>
          <w:rFonts w:ascii="RobotoSlab-Regular" w:hAnsi="RobotoSlab-Regular"/>
        </w:rPr>
      </w:pPr>
      <w:r w:rsidRPr="00490B79">
        <w:rPr>
          <w:rFonts w:ascii="RobotoSlab-Regular" w:hAnsi="RobotoSlab-Regular"/>
        </w:rPr>
        <w:t xml:space="preserve">Пробу Манту делают с целью выявления лиц, впервые инфицированных микобактерией туберкулёза, с </w:t>
      </w:r>
      <w:proofErr w:type="spellStart"/>
      <w:r w:rsidRPr="00490B79">
        <w:rPr>
          <w:rFonts w:ascii="RobotoSlab-Regular" w:hAnsi="RobotoSlab-Regular"/>
        </w:rPr>
        <w:t>гиперергическими</w:t>
      </w:r>
      <w:proofErr w:type="spellEnd"/>
      <w:r w:rsidRPr="00490B79">
        <w:rPr>
          <w:rFonts w:ascii="RobotoSlab-Regular" w:hAnsi="RobotoSlab-Regular"/>
        </w:rPr>
        <w:t xml:space="preserve"> и усиливающимися реакциями на туберкулин, определения эпидемиологических показателей по туберкулёзу. Целью исследования является отбор контингентов для противотуберкулёзной прививки вакциной БЦЖ-М детей в возрасте двух месяцев и старше, которые не получили прививку в родильном доме, и для ревакцинации вакциной БЦЖ, для ранней диагностики туберкулёза у дет</w:t>
      </w:r>
      <w:bookmarkStart w:id="0" w:name="_GoBack"/>
      <w:bookmarkEnd w:id="0"/>
      <w:r w:rsidRPr="00490B79">
        <w:rPr>
          <w:rFonts w:ascii="RobotoSlab-Regular" w:hAnsi="RobotoSlab-Regular"/>
        </w:rPr>
        <w:t xml:space="preserve">ей и подростков. При массовой </w:t>
      </w:r>
      <w:proofErr w:type="spellStart"/>
      <w:r w:rsidRPr="00490B79">
        <w:rPr>
          <w:rFonts w:ascii="RobotoSlab-Regular" w:hAnsi="RobotoSlab-Regular"/>
        </w:rPr>
        <w:t>туберкулинодиагностике</w:t>
      </w:r>
      <w:proofErr w:type="spellEnd"/>
      <w:r w:rsidRPr="00490B79">
        <w:rPr>
          <w:rFonts w:ascii="RobotoSlab-Regular" w:hAnsi="RobotoSlab-Regular"/>
        </w:rPr>
        <w:t xml:space="preserve"> применяют единую внутрикожную туберкулиновую пробу Манту с двумя туберкулиновыми единицами (ТЕ) очищенного туберкулина в стандартном разведении.</w:t>
      </w:r>
    </w:p>
    <w:p w:rsidR="00490B79" w:rsidRPr="00490B79" w:rsidRDefault="00490B79" w:rsidP="00490B79">
      <w:pPr>
        <w:pStyle w:val="a3"/>
        <w:spacing w:before="0" w:beforeAutospacing="0" w:after="0" w:afterAutospacing="0"/>
        <w:ind w:left="-567" w:firstLine="425"/>
        <w:jc w:val="both"/>
        <w:rPr>
          <w:rFonts w:ascii="RobotoSlab-Regular" w:hAnsi="RobotoSlab-Regular"/>
        </w:rPr>
      </w:pPr>
      <w:r w:rsidRPr="00490B79">
        <w:rPr>
          <w:rFonts w:ascii="RobotoSlab-Regular" w:hAnsi="RobotoSlab-Regular"/>
        </w:rPr>
        <w:t xml:space="preserve">Индивидуальную диагностику туберкулином проводят для определения поствакцинальной и инфекционной аллергии к туберкулину, диагностики и дифференциальной диагностики туберкулёза, и других заболеваний, определения «порога» индивидуальной чувствительности к туберкулину, активности туберкулёзного процесса, оценки эффективности противотуберкулёзного лечения. Чем заменить Манту? Для индивидуальной </w:t>
      </w:r>
      <w:proofErr w:type="spellStart"/>
      <w:r w:rsidRPr="00490B79">
        <w:rPr>
          <w:rFonts w:ascii="RobotoSlab-Regular" w:hAnsi="RobotoSlab-Regular"/>
        </w:rPr>
        <w:t>туберкулинодиагностики</w:t>
      </w:r>
      <w:proofErr w:type="spellEnd"/>
      <w:r w:rsidRPr="00490B79">
        <w:rPr>
          <w:rFonts w:ascii="RobotoSlab-Regular" w:hAnsi="RobotoSlab-Regular"/>
        </w:rPr>
        <w:t xml:space="preserve"> применяют, кроме пробы Манту с 2 ТЕ очищенного туберкулина в стандартном разведении, пробы Манту с различными дозами туберкулина, накожную градуированную пробу Пирке, определение туберкулинового титра. Для проведения индивидуальной </w:t>
      </w:r>
      <w:proofErr w:type="spellStart"/>
      <w:r w:rsidRPr="00490B79">
        <w:rPr>
          <w:rFonts w:ascii="RobotoSlab-Regular" w:hAnsi="RobotoSlab-Regular"/>
        </w:rPr>
        <w:t>туберкулинодиагностики</w:t>
      </w:r>
      <w:proofErr w:type="spellEnd"/>
      <w:r w:rsidRPr="00490B79">
        <w:rPr>
          <w:rFonts w:ascii="RobotoSlab-Regular" w:hAnsi="RobotoSlab-Regular"/>
        </w:rPr>
        <w:t xml:space="preserve"> используют очищенный туберкулин в стандартном разведении и сухой очищенный туберкулин.</w:t>
      </w:r>
    </w:p>
    <w:p w:rsidR="00490B79" w:rsidRPr="00490B79" w:rsidRDefault="00490B79" w:rsidP="00490B79">
      <w:pPr>
        <w:pStyle w:val="2"/>
        <w:spacing w:before="0" w:line="240" w:lineRule="auto"/>
        <w:ind w:left="-567" w:firstLine="425"/>
        <w:jc w:val="both"/>
        <w:rPr>
          <w:rFonts w:ascii="RobotoSlab-Bold" w:hAnsi="RobotoSlab-Bold"/>
          <w:bCs w:val="0"/>
          <w:color w:val="auto"/>
          <w:sz w:val="24"/>
          <w:szCs w:val="24"/>
        </w:rPr>
      </w:pPr>
      <w:r w:rsidRPr="00490B79">
        <w:rPr>
          <w:rFonts w:ascii="RobotoSlab-Bold" w:hAnsi="RobotoSlab-Bold"/>
          <w:bCs w:val="0"/>
          <w:color w:val="auto"/>
          <w:sz w:val="24"/>
          <w:szCs w:val="24"/>
        </w:rPr>
        <w:t>Противопоказания к проведению прививки на Манту</w:t>
      </w:r>
    </w:p>
    <w:p w:rsidR="00490B79" w:rsidRPr="00490B79" w:rsidRDefault="00490B79" w:rsidP="00490B79">
      <w:pPr>
        <w:pStyle w:val="a3"/>
        <w:spacing w:before="0" w:beforeAutospacing="0" w:after="0" w:afterAutospacing="0"/>
        <w:ind w:left="-567" w:firstLine="425"/>
        <w:jc w:val="both"/>
        <w:rPr>
          <w:rFonts w:ascii="RobotoSlab-Regular" w:hAnsi="RobotoSlab-Regular"/>
        </w:rPr>
      </w:pPr>
      <w:r w:rsidRPr="00490B79">
        <w:rPr>
          <w:rFonts w:ascii="RobotoSlab-Regular" w:hAnsi="RobotoSlab-Regular"/>
        </w:rPr>
        <w:t>Абсолютные противопоказания к постановке пробы Манту отсутствуют. При проведении этой реакции используют инактивированный туберкулин, в котором нет живых возбудителей болезни. Он не может нанести вреда здоровью. Доза препарата столь мала, что не может вызвать аллергии, опасной для жизни. По этой причине проба Манту до сих пор остаётся одним из самых распространенных методов массовой диагностики туберкулёза, хотя и довольно неточным.</w:t>
      </w:r>
    </w:p>
    <w:p w:rsidR="00490B79" w:rsidRPr="00490B79" w:rsidRDefault="00490B79" w:rsidP="00490B79">
      <w:pPr>
        <w:pStyle w:val="a3"/>
        <w:spacing w:before="0" w:beforeAutospacing="0" w:after="0" w:afterAutospacing="0"/>
        <w:ind w:left="-567" w:firstLine="425"/>
        <w:jc w:val="both"/>
        <w:rPr>
          <w:rFonts w:ascii="RobotoSlab-Regular" w:hAnsi="RobotoSlab-Regular"/>
        </w:rPr>
      </w:pPr>
      <w:r w:rsidRPr="00490B79">
        <w:rPr>
          <w:rFonts w:ascii="RobotoSlab-Regular" w:hAnsi="RobotoSlab-Regular"/>
        </w:rPr>
        <w:t xml:space="preserve">Реакцию Манту не делают детям, младше двенадцати месяцев. Их иммунитет окончательно не </w:t>
      </w:r>
      <w:proofErr w:type="gramStart"/>
      <w:r w:rsidRPr="00490B79">
        <w:rPr>
          <w:rFonts w:ascii="RobotoSlab-Regular" w:hAnsi="RobotoSlab-Regular"/>
        </w:rPr>
        <w:t>до</w:t>
      </w:r>
      <w:proofErr w:type="gramEnd"/>
      <w:r w:rsidRPr="00490B79">
        <w:rPr>
          <w:rFonts w:ascii="RobotoSlab-Regular" w:hAnsi="RobotoSlab-Regular"/>
        </w:rPr>
        <w:t xml:space="preserve"> сформировался, поэтому </w:t>
      </w:r>
      <w:proofErr w:type="gramStart"/>
      <w:r w:rsidRPr="00490B79">
        <w:rPr>
          <w:rFonts w:ascii="RobotoSlab-Regular" w:hAnsi="RobotoSlab-Regular"/>
        </w:rPr>
        <w:t>по</w:t>
      </w:r>
      <w:proofErr w:type="gramEnd"/>
      <w:r w:rsidRPr="00490B79">
        <w:rPr>
          <w:rFonts w:ascii="RobotoSlab-Regular" w:hAnsi="RobotoSlab-Regular"/>
        </w:rPr>
        <w:t xml:space="preserve"> результатам пробы невозможно судить о зараженности организма туберкулёзом. Реакция будет ложноотрицательной, если ребенок болен. Пробу Манту проводят не ранее, чем через четыре недели после вакцинации, поскольку любые прививки могут повлиять на результаты и реакция очень часто становится ложноположительной.</w:t>
      </w:r>
    </w:p>
    <w:p w:rsidR="00490B79" w:rsidRPr="00490B79" w:rsidRDefault="00490B79" w:rsidP="00490B79">
      <w:pPr>
        <w:pStyle w:val="a3"/>
        <w:spacing w:before="0" w:beforeAutospacing="0" w:after="0" w:afterAutospacing="0"/>
        <w:ind w:left="-567" w:firstLine="425"/>
        <w:jc w:val="both"/>
        <w:rPr>
          <w:rFonts w:ascii="RobotoSlab-Regular" w:hAnsi="RobotoSlab-Regular"/>
        </w:rPr>
      </w:pPr>
      <w:r w:rsidRPr="00490B79">
        <w:rPr>
          <w:rFonts w:ascii="RobotoSlab-Regular" w:hAnsi="RobotoSlab-Regular"/>
        </w:rPr>
        <w:lastRenderedPageBreak/>
        <w:t xml:space="preserve">Пробу Манту не проводят в детских коллективах, в которых объявлен карантин, даже если отдельные дети здоровы. В этом случае её откладывают до снятия карантина. Не проводят пробу Манту больным инфекционными заболеваниями или при обострении хронических болезней до полного исчезновения их симптомов. К хроническим болезням врачи относят и сезонную аллергию, проявляющуюся как кожными высыпаниями, так и признаками ринита или другими симптомами. </w:t>
      </w:r>
      <w:proofErr w:type="gramStart"/>
      <w:r w:rsidRPr="00490B79">
        <w:rPr>
          <w:rFonts w:ascii="RobotoSlab-Regular" w:hAnsi="RobotoSlab-Regular"/>
        </w:rPr>
        <w:t>Откладывают до выздоровления пациента пробу Манту при наличии кожных заболеваний, аллергических состояний (бронхиальной астмы, идиосинкразии с выраженными кожными проявлениями, ревматизма в острой и подострой фазах).</w:t>
      </w:r>
      <w:proofErr w:type="gramEnd"/>
      <w:r w:rsidRPr="00490B79">
        <w:rPr>
          <w:rFonts w:ascii="RobotoSlab-Regular" w:hAnsi="RobotoSlab-Regular"/>
        </w:rPr>
        <w:t xml:space="preserve"> Не делают пробу пациентам, страдающим эпилепсией, и при наличии тяжёлой аллергической реакции к компонентам препарата или возникновения тяжелой реакции кожи при предыдущем проведении пробы Манту.</w:t>
      </w:r>
    </w:p>
    <w:p w:rsidR="00490B79" w:rsidRPr="00490B79" w:rsidRDefault="00490B79" w:rsidP="00490B79">
      <w:pPr>
        <w:pStyle w:val="2"/>
        <w:spacing w:before="0" w:line="240" w:lineRule="auto"/>
        <w:ind w:left="-567" w:firstLine="425"/>
        <w:jc w:val="both"/>
        <w:rPr>
          <w:rFonts w:ascii="RobotoSlab-Bold" w:hAnsi="RobotoSlab-Bold"/>
          <w:bCs w:val="0"/>
          <w:color w:val="auto"/>
          <w:sz w:val="24"/>
          <w:szCs w:val="24"/>
        </w:rPr>
      </w:pPr>
      <w:r w:rsidRPr="00490B79">
        <w:rPr>
          <w:rFonts w:ascii="RobotoSlab-Bold" w:hAnsi="RobotoSlab-Bold"/>
          <w:bCs w:val="0"/>
          <w:color w:val="auto"/>
          <w:sz w:val="24"/>
          <w:szCs w:val="24"/>
        </w:rPr>
        <w:t>Когда делают Манту</w:t>
      </w:r>
    </w:p>
    <w:p w:rsidR="00490B79" w:rsidRPr="00490B79" w:rsidRDefault="00490B79" w:rsidP="00490B79">
      <w:pPr>
        <w:pStyle w:val="a3"/>
        <w:spacing w:before="0" w:beforeAutospacing="0" w:after="0" w:afterAutospacing="0"/>
        <w:ind w:left="-567" w:firstLine="425"/>
        <w:jc w:val="both"/>
        <w:rPr>
          <w:rFonts w:ascii="RobotoSlab-Regular" w:hAnsi="RobotoSlab-Regular"/>
        </w:rPr>
      </w:pPr>
      <w:r w:rsidRPr="00490B79">
        <w:rPr>
          <w:rFonts w:ascii="RobotoSlab-Regular" w:hAnsi="RobotoSlab-Regular"/>
        </w:rPr>
        <w:t xml:space="preserve">Перед проведением пробы Манту пациенту измеряют температуру, его осматривает врач. Для проведения внутрикожной пробы Манту в </w:t>
      </w:r>
      <w:proofErr w:type="spellStart"/>
      <w:r w:rsidRPr="00490B79">
        <w:rPr>
          <w:rFonts w:ascii="RobotoSlab-Regular" w:hAnsi="RobotoSlab-Regular"/>
        </w:rPr>
        <w:t>Юсуповской</w:t>
      </w:r>
      <w:proofErr w:type="spellEnd"/>
      <w:r w:rsidRPr="00490B79">
        <w:rPr>
          <w:rFonts w:ascii="RobotoSlab-Regular" w:hAnsi="RobotoSlab-Regular"/>
        </w:rPr>
        <w:t xml:space="preserve"> больнице используют однограммовые туберкулиновые шприцы разового использования с тонкими короткими иглами, имеющими короткий косой срез. Не применяют шприцы и иглы с истекшим сроком годности. Перед употреблением медицинская сестра проверяет дату их выпуска и срок годности. Запрещается использование инсулиновых шприцев для проведения </w:t>
      </w:r>
      <w:proofErr w:type="spellStart"/>
      <w:r w:rsidRPr="00490B79">
        <w:rPr>
          <w:rFonts w:ascii="RobotoSlab-Regular" w:hAnsi="RobotoSlab-Regular"/>
        </w:rPr>
        <w:t>туберкулинодиагностики</w:t>
      </w:r>
      <w:proofErr w:type="spellEnd"/>
      <w:r w:rsidRPr="00490B79">
        <w:rPr>
          <w:rFonts w:ascii="RobotoSlab-Regular" w:hAnsi="RobotoSlab-Regular"/>
        </w:rPr>
        <w:t>.</w:t>
      </w:r>
    </w:p>
    <w:p w:rsidR="00490B79" w:rsidRPr="00490B79" w:rsidRDefault="00490B79" w:rsidP="00490B79">
      <w:pPr>
        <w:pStyle w:val="a3"/>
        <w:spacing w:before="0" w:beforeAutospacing="0" w:after="0" w:afterAutospacing="0"/>
        <w:ind w:left="-567" w:firstLine="425"/>
        <w:jc w:val="both"/>
        <w:rPr>
          <w:rFonts w:ascii="RobotoSlab-Regular" w:hAnsi="RobotoSlab-Regular"/>
        </w:rPr>
      </w:pPr>
      <w:r w:rsidRPr="00490B79">
        <w:rPr>
          <w:rFonts w:ascii="RobotoSlab-Regular" w:hAnsi="RobotoSlab-Regular"/>
        </w:rPr>
        <w:t>Для проведения пробы Манту медицинская сестра использует следующие материалы:</w:t>
      </w:r>
    </w:p>
    <w:p w:rsidR="00490B79" w:rsidRPr="00490B79" w:rsidRDefault="00490B79" w:rsidP="00490B79">
      <w:pPr>
        <w:numPr>
          <w:ilvl w:val="0"/>
          <w:numId w:val="1"/>
        </w:numPr>
        <w:spacing w:after="0" w:line="240" w:lineRule="auto"/>
        <w:ind w:left="-567" w:firstLine="425"/>
        <w:jc w:val="both"/>
        <w:rPr>
          <w:rFonts w:ascii="RobotoSlab-Regular" w:hAnsi="RobotoSlab-Regular"/>
          <w:sz w:val="24"/>
          <w:szCs w:val="24"/>
        </w:rPr>
      </w:pPr>
      <w:r w:rsidRPr="00490B79">
        <w:rPr>
          <w:rFonts w:ascii="RobotoSlab-Regular" w:hAnsi="RobotoSlab-Regular"/>
          <w:sz w:val="24"/>
          <w:szCs w:val="24"/>
        </w:rPr>
        <w:t>Бикс размером 18×14 см со стерильными ватными шариками;</w:t>
      </w:r>
    </w:p>
    <w:p w:rsidR="00490B79" w:rsidRPr="00490B79" w:rsidRDefault="00490B79" w:rsidP="00490B79">
      <w:pPr>
        <w:numPr>
          <w:ilvl w:val="0"/>
          <w:numId w:val="1"/>
        </w:numPr>
        <w:spacing w:after="0" w:line="240" w:lineRule="auto"/>
        <w:ind w:left="-567" w:firstLine="425"/>
        <w:jc w:val="both"/>
        <w:rPr>
          <w:rFonts w:ascii="RobotoSlab-Regular" w:hAnsi="RobotoSlab-Regular"/>
          <w:sz w:val="24"/>
          <w:szCs w:val="24"/>
        </w:rPr>
      </w:pPr>
      <w:r w:rsidRPr="00490B79">
        <w:rPr>
          <w:rFonts w:ascii="RobotoSlab-Regular" w:hAnsi="RobotoSlab-Regular"/>
          <w:sz w:val="24"/>
          <w:szCs w:val="24"/>
        </w:rPr>
        <w:t>Линейки миллиметровые длиной 100 мм, изготовленные из пластмассы;</w:t>
      </w:r>
    </w:p>
    <w:p w:rsidR="00490B79" w:rsidRPr="00490B79" w:rsidRDefault="00490B79" w:rsidP="00490B79">
      <w:pPr>
        <w:numPr>
          <w:ilvl w:val="0"/>
          <w:numId w:val="1"/>
        </w:numPr>
        <w:spacing w:after="0" w:line="240" w:lineRule="auto"/>
        <w:ind w:left="-567" w:firstLine="425"/>
        <w:jc w:val="both"/>
        <w:rPr>
          <w:rFonts w:ascii="RobotoSlab-Regular" w:hAnsi="RobotoSlab-Regular"/>
          <w:sz w:val="24"/>
          <w:szCs w:val="24"/>
        </w:rPr>
      </w:pPr>
      <w:r w:rsidRPr="00490B79">
        <w:rPr>
          <w:rFonts w:ascii="RobotoSlab-Regular" w:hAnsi="RobotoSlab-Regular"/>
          <w:sz w:val="24"/>
          <w:szCs w:val="24"/>
        </w:rPr>
        <w:t>Флакон ёмкостью 50 мл с этиловым спиртом;</w:t>
      </w:r>
    </w:p>
    <w:p w:rsidR="00490B79" w:rsidRPr="00490B79" w:rsidRDefault="00490B79" w:rsidP="00490B79">
      <w:pPr>
        <w:numPr>
          <w:ilvl w:val="0"/>
          <w:numId w:val="1"/>
        </w:numPr>
        <w:spacing w:after="0" w:line="240" w:lineRule="auto"/>
        <w:ind w:left="-567" w:firstLine="425"/>
        <w:jc w:val="both"/>
        <w:rPr>
          <w:rFonts w:ascii="RobotoSlab-Regular" w:hAnsi="RobotoSlab-Regular"/>
          <w:sz w:val="24"/>
          <w:szCs w:val="24"/>
        </w:rPr>
      </w:pPr>
      <w:r w:rsidRPr="00490B79">
        <w:rPr>
          <w:rFonts w:ascii="RobotoSlab-Regular" w:hAnsi="RobotoSlab-Regular"/>
          <w:sz w:val="24"/>
          <w:szCs w:val="24"/>
        </w:rPr>
        <w:t>Флакон объёмом 50 мл с нашатырным спиртом;</w:t>
      </w:r>
    </w:p>
    <w:p w:rsidR="00490B79" w:rsidRPr="00490B79" w:rsidRDefault="00490B79" w:rsidP="00490B79">
      <w:pPr>
        <w:numPr>
          <w:ilvl w:val="0"/>
          <w:numId w:val="1"/>
        </w:numPr>
        <w:spacing w:after="0" w:line="240" w:lineRule="auto"/>
        <w:ind w:left="-567" w:firstLine="425"/>
        <w:jc w:val="both"/>
        <w:rPr>
          <w:rFonts w:ascii="RobotoSlab-Regular" w:hAnsi="RobotoSlab-Regular"/>
          <w:sz w:val="24"/>
          <w:szCs w:val="24"/>
        </w:rPr>
      </w:pPr>
      <w:r w:rsidRPr="00490B79">
        <w:rPr>
          <w:rFonts w:ascii="RobotoSlab-Regular" w:hAnsi="RobotoSlab-Regular"/>
          <w:sz w:val="24"/>
          <w:szCs w:val="24"/>
        </w:rPr>
        <w:t>Пинцеты анатомические длиной 15 см;</w:t>
      </w:r>
    </w:p>
    <w:p w:rsidR="00490B79" w:rsidRPr="00490B79" w:rsidRDefault="00490B79" w:rsidP="00490B79">
      <w:pPr>
        <w:numPr>
          <w:ilvl w:val="0"/>
          <w:numId w:val="1"/>
        </w:numPr>
        <w:spacing w:after="0" w:line="240" w:lineRule="auto"/>
        <w:ind w:left="-567" w:firstLine="425"/>
        <w:jc w:val="both"/>
        <w:rPr>
          <w:rFonts w:ascii="RobotoSlab-Regular" w:hAnsi="RobotoSlab-Regular"/>
          <w:sz w:val="24"/>
          <w:szCs w:val="24"/>
        </w:rPr>
      </w:pPr>
      <w:r w:rsidRPr="00490B79">
        <w:rPr>
          <w:rFonts w:ascii="RobotoSlab-Regular" w:hAnsi="RobotoSlab-Regular"/>
          <w:sz w:val="24"/>
          <w:szCs w:val="24"/>
        </w:rPr>
        <w:t>Иглы инъекционные N 0840 для извлечения туберкулина из флакона.</w:t>
      </w:r>
    </w:p>
    <w:p w:rsidR="00490B79" w:rsidRPr="00490B79" w:rsidRDefault="00490B79" w:rsidP="00490B79">
      <w:pPr>
        <w:pStyle w:val="a3"/>
        <w:spacing w:before="0" w:beforeAutospacing="0" w:after="0" w:afterAutospacing="0"/>
        <w:ind w:left="-567" w:firstLine="425"/>
        <w:jc w:val="both"/>
        <w:rPr>
          <w:rFonts w:ascii="RobotoSlab-Regular" w:hAnsi="RobotoSlab-Regular"/>
        </w:rPr>
      </w:pPr>
      <w:r w:rsidRPr="00490B79">
        <w:rPr>
          <w:rFonts w:ascii="RobotoSlab-Regular" w:hAnsi="RobotoSlab-Regular"/>
        </w:rPr>
        <w:t>Медсестра тщательно обтирает ампулу с туберкулином марлей, смоченной 70% этиловым спиртом. Затем шейку ампулы подпиливает специальным ножом и отламывает. Шприцем, которым осуществляют пробу Манту, и иглой N 0845 извлекает туберкулин из ампулы. Набирает две дозы туберкулина (0,2), насаживает иглу туберкулинового шприца, выпускает раствор до метки 0,1 в стерильный ватный тампон. Ампулу после вскрытия сохраняет в асептических условиях не более двух часов.</w:t>
      </w:r>
    </w:p>
    <w:p w:rsidR="00490B79" w:rsidRPr="00490B79" w:rsidRDefault="00490B79" w:rsidP="00490B79">
      <w:pPr>
        <w:pStyle w:val="a3"/>
        <w:spacing w:before="0" w:beforeAutospacing="0" w:after="0" w:afterAutospacing="0"/>
        <w:ind w:left="-567" w:firstLine="425"/>
        <w:jc w:val="both"/>
        <w:rPr>
          <w:rFonts w:ascii="RobotoSlab-Regular" w:hAnsi="RobotoSlab-Regular"/>
        </w:rPr>
      </w:pPr>
      <w:r w:rsidRPr="00490B79">
        <w:rPr>
          <w:rFonts w:ascii="RobotoSlab-Regular" w:hAnsi="RobotoSlab-Regular"/>
        </w:rPr>
        <w:t>Проба Манту производится пациентам обязательно в положении сидя, так как у эмоционально лабильных лиц инъекция может стать причиной обморока. 70% этиловым спиртом обрабатывают участок кожи на внутренней поверхности средней трети, и просушивают стерильной ватой. Тонкую иглу срезом вверх вводят в верхние слои натянутой кожи параллельно её поверхности. После того, как отверстие иглы введено в кожу, из шприца вводят одну дозу туберкулина (0,1 мл раствора). Какие размеры пробы Манту? В коже образуется папула беловатого цвета в виде «лимонной корочки» размером не менее 7-9 мм.</w:t>
      </w:r>
    </w:p>
    <w:p w:rsidR="00490B79" w:rsidRPr="00490B79" w:rsidRDefault="00490B79" w:rsidP="00490B79">
      <w:pPr>
        <w:pStyle w:val="2"/>
        <w:spacing w:before="0" w:line="240" w:lineRule="auto"/>
        <w:ind w:left="-567" w:firstLine="425"/>
        <w:jc w:val="both"/>
        <w:rPr>
          <w:rFonts w:ascii="RobotoSlab-Bold" w:hAnsi="RobotoSlab-Bold"/>
          <w:b w:val="0"/>
          <w:bCs w:val="0"/>
          <w:color w:val="auto"/>
          <w:sz w:val="24"/>
          <w:szCs w:val="24"/>
        </w:rPr>
      </w:pPr>
      <w:r w:rsidRPr="00490B79">
        <w:rPr>
          <w:rFonts w:ascii="RobotoSlab-Bold" w:hAnsi="RobotoSlab-Bold"/>
          <w:b w:val="0"/>
          <w:bCs w:val="0"/>
          <w:color w:val="auto"/>
          <w:sz w:val="24"/>
          <w:szCs w:val="24"/>
        </w:rPr>
        <w:t>Оценка результатов и норма Манту </w:t>
      </w:r>
    </w:p>
    <w:p w:rsidR="00490B79" w:rsidRPr="00490B79" w:rsidRDefault="00490B79" w:rsidP="00490B79">
      <w:pPr>
        <w:pStyle w:val="a3"/>
        <w:spacing w:before="0" w:beforeAutospacing="0" w:after="0" w:afterAutospacing="0"/>
        <w:ind w:left="-567" w:firstLine="425"/>
        <w:jc w:val="both"/>
        <w:rPr>
          <w:rFonts w:ascii="RobotoSlab-Regular" w:hAnsi="RobotoSlab-Regular"/>
        </w:rPr>
      </w:pPr>
      <w:r w:rsidRPr="00490B79">
        <w:rPr>
          <w:rFonts w:ascii="RobotoSlab-Regular" w:hAnsi="RobotoSlab-Regular"/>
        </w:rPr>
        <w:t>Результат пробы Манту врач оценивает через 72 часа путем измерения размера инфильтрата (папулы) в миллиметрах. Линейкой с миллиметровыми делениями медицинская сестра измеряет и регистрирует поперечный (по отношению к оси предплечья) размер инфильтрата. Если инфильтрат отсутствует, при учёте реакции на пробу Манту измеряют и регистрируют гиперемию.</w:t>
      </w:r>
    </w:p>
    <w:p w:rsidR="00490B79" w:rsidRPr="00490B79" w:rsidRDefault="00490B79" w:rsidP="00490B79">
      <w:pPr>
        <w:pStyle w:val="a3"/>
        <w:spacing w:before="0" w:beforeAutospacing="0" w:after="0" w:afterAutospacing="0"/>
        <w:ind w:left="-567" w:firstLine="425"/>
        <w:jc w:val="both"/>
        <w:rPr>
          <w:rFonts w:ascii="RobotoSlab-Regular" w:hAnsi="RobotoSlab-Regular"/>
          <w:b/>
        </w:rPr>
      </w:pPr>
      <w:r w:rsidRPr="00490B79">
        <w:rPr>
          <w:rFonts w:ascii="RobotoSlab-Regular" w:hAnsi="RobotoSlab-Regular"/>
          <w:b/>
        </w:rPr>
        <w:t>При постановке пробы Манту реакцию считают:</w:t>
      </w:r>
    </w:p>
    <w:p w:rsidR="00490B79" w:rsidRPr="00490B79" w:rsidRDefault="00490B79" w:rsidP="00490B79">
      <w:pPr>
        <w:numPr>
          <w:ilvl w:val="0"/>
          <w:numId w:val="2"/>
        </w:numPr>
        <w:spacing w:after="0" w:line="240" w:lineRule="auto"/>
        <w:ind w:left="-567" w:firstLine="425"/>
        <w:jc w:val="both"/>
        <w:rPr>
          <w:rFonts w:ascii="RobotoSlab-Regular" w:hAnsi="RobotoSlab-Regular"/>
          <w:sz w:val="24"/>
          <w:szCs w:val="24"/>
        </w:rPr>
      </w:pPr>
      <w:r w:rsidRPr="00490B79">
        <w:rPr>
          <w:rFonts w:ascii="RobotoSlab-Regular" w:hAnsi="RobotoSlab-Regular"/>
          <w:sz w:val="24"/>
          <w:szCs w:val="24"/>
        </w:rPr>
        <w:t>Отрицательной – при полном отсутствии инфильтрата или покраснения либо при наличии реакции от укола (0-1 мм);</w:t>
      </w:r>
    </w:p>
    <w:p w:rsidR="00490B79" w:rsidRPr="00490B79" w:rsidRDefault="00490B79" w:rsidP="00490B79">
      <w:pPr>
        <w:numPr>
          <w:ilvl w:val="0"/>
          <w:numId w:val="2"/>
        </w:numPr>
        <w:spacing w:after="0" w:line="240" w:lineRule="auto"/>
        <w:ind w:left="-567" w:firstLine="425"/>
        <w:jc w:val="both"/>
        <w:rPr>
          <w:rFonts w:ascii="RobotoSlab-Regular" w:hAnsi="RobotoSlab-Regular"/>
          <w:sz w:val="24"/>
          <w:szCs w:val="24"/>
        </w:rPr>
      </w:pPr>
      <w:proofErr w:type="gramStart"/>
      <w:r w:rsidRPr="00490B79">
        <w:rPr>
          <w:rFonts w:ascii="RobotoSlab-Regular" w:hAnsi="RobotoSlab-Regular"/>
          <w:sz w:val="24"/>
          <w:szCs w:val="24"/>
        </w:rPr>
        <w:t>Сомнительной</w:t>
      </w:r>
      <w:proofErr w:type="gramEnd"/>
      <w:r w:rsidRPr="00490B79">
        <w:rPr>
          <w:rFonts w:ascii="RobotoSlab-Regular" w:hAnsi="RobotoSlab-Regular"/>
          <w:sz w:val="24"/>
          <w:szCs w:val="24"/>
        </w:rPr>
        <w:t xml:space="preserve"> – если инфильтрат имеет размер 2-4 мм или определяется только покраснение любого размера без инфильтрата;</w:t>
      </w:r>
    </w:p>
    <w:p w:rsidR="00490B79" w:rsidRPr="00490B79" w:rsidRDefault="00490B79" w:rsidP="00490B79">
      <w:pPr>
        <w:numPr>
          <w:ilvl w:val="0"/>
          <w:numId w:val="2"/>
        </w:numPr>
        <w:spacing w:after="0" w:line="240" w:lineRule="auto"/>
        <w:ind w:left="-567" w:firstLine="425"/>
        <w:jc w:val="both"/>
        <w:rPr>
          <w:rFonts w:ascii="RobotoSlab-Regular" w:hAnsi="RobotoSlab-Regular"/>
          <w:sz w:val="24"/>
          <w:szCs w:val="24"/>
        </w:rPr>
      </w:pPr>
      <w:r w:rsidRPr="00490B79">
        <w:rPr>
          <w:rFonts w:ascii="RobotoSlab-Regular" w:hAnsi="RobotoSlab-Regular"/>
          <w:sz w:val="24"/>
          <w:szCs w:val="24"/>
        </w:rPr>
        <w:t>Положительная проба Манту считается при наличии инфильтрата диаметром 5 мм и более.</w:t>
      </w:r>
    </w:p>
    <w:p w:rsidR="00490B79" w:rsidRPr="00490B79" w:rsidRDefault="00490B79" w:rsidP="00490B79">
      <w:pPr>
        <w:pStyle w:val="a3"/>
        <w:spacing w:before="0" w:beforeAutospacing="0" w:after="0" w:afterAutospacing="0"/>
        <w:ind w:left="-567" w:firstLine="425"/>
        <w:jc w:val="both"/>
        <w:rPr>
          <w:rFonts w:ascii="RobotoSlab-Regular" w:hAnsi="RobotoSlab-Regular"/>
        </w:rPr>
      </w:pPr>
      <w:r w:rsidRPr="00490B79">
        <w:rPr>
          <w:rFonts w:ascii="RobotoSlab-Regular" w:hAnsi="RobotoSlab-Regular"/>
        </w:rPr>
        <w:lastRenderedPageBreak/>
        <w:t xml:space="preserve">Слабоположительными считают реакции Манту с размером инфильтрата от 5 до 9 мм в диаметре, средней интенсивности – в диапазоне от 10 до 14мм, выраженными – в пределах 15-16 мм. </w:t>
      </w:r>
      <w:proofErr w:type="spellStart"/>
      <w:r w:rsidRPr="00490B79">
        <w:rPr>
          <w:rFonts w:ascii="RobotoSlab-Regular" w:hAnsi="RobotoSlab-Regular"/>
        </w:rPr>
        <w:t>Гиперергическая</w:t>
      </w:r>
      <w:proofErr w:type="spellEnd"/>
      <w:r w:rsidRPr="00490B79">
        <w:rPr>
          <w:rFonts w:ascii="RobotoSlab-Regular" w:hAnsi="RobotoSlab-Regular"/>
        </w:rPr>
        <w:t xml:space="preserve"> (большая) Манту у детей и подростков считается в следующих случаях: реакция у детей и подростков с диаметром инфильтрата 17мм и более, у взрослых – 21 мм и более, а также </w:t>
      </w:r>
      <w:proofErr w:type="spellStart"/>
      <w:r w:rsidRPr="00490B79">
        <w:rPr>
          <w:rFonts w:ascii="RobotoSlab-Regular" w:hAnsi="RobotoSlab-Regular"/>
        </w:rPr>
        <w:t>везикуло</w:t>
      </w:r>
      <w:proofErr w:type="spellEnd"/>
      <w:r w:rsidRPr="00490B79">
        <w:rPr>
          <w:rFonts w:ascii="RobotoSlab-Regular" w:hAnsi="RobotoSlab-Regular"/>
        </w:rPr>
        <w:t>-некротические реакции вне зависимости от размера инфильтрата с лимфангоитом или без него. Усиливающейся реакцией считают увеличение инфильтрата на 6 мм и более по сравнению с предыдущей пробой Манту. Положительная проба Манту видна на фото.</w:t>
      </w:r>
    </w:p>
    <w:p w:rsidR="00490B79" w:rsidRPr="00490B79" w:rsidRDefault="00490B79" w:rsidP="00490B79">
      <w:pPr>
        <w:pStyle w:val="a3"/>
        <w:spacing w:before="0" w:beforeAutospacing="0" w:after="0" w:afterAutospacing="0"/>
        <w:ind w:left="-567" w:firstLine="425"/>
        <w:jc w:val="both"/>
        <w:rPr>
          <w:rFonts w:ascii="RobotoSlab-Regular" w:hAnsi="RobotoSlab-Regular"/>
        </w:rPr>
      </w:pPr>
      <w:r w:rsidRPr="00490B79">
        <w:rPr>
          <w:rFonts w:ascii="RobotoSlab-Regular" w:hAnsi="RobotoSlab-Regular"/>
        </w:rPr>
        <w:t>Ложноотрицательные результаты можно получить в следующих случаях:</w:t>
      </w:r>
    </w:p>
    <w:p w:rsidR="00490B79" w:rsidRPr="00490B79" w:rsidRDefault="00490B79" w:rsidP="00490B79">
      <w:pPr>
        <w:numPr>
          <w:ilvl w:val="0"/>
          <w:numId w:val="3"/>
        </w:numPr>
        <w:spacing w:after="0" w:line="240" w:lineRule="auto"/>
        <w:ind w:left="-567" w:firstLine="425"/>
        <w:jc w:val="both"/>
        <w:rPr>
          <w:rFonts w:ascii="RobotoSlab-Regular" w:hAnsi="RobotoSlab-Regular"/>
          <w:sz w:val="24"/>
          <w:szCs w:val="24"/>
        </w:rPr>
      </w:pPr>
      <w:r w:rsidRPr="00490B79">
        <w:rPr>
          <w:rFonts w:ascii="RobotoSlab-Regular" w:hAnsi="RobotoSlab-Regular"/>
          <w:sz w:val="24"/>
          <w:szCs w:val="24"/>
        </w:rPr>
        <w:t>При возрастной недостаточности иммунитета, несбалансированном питании, почечной недостаточности, сахарном диабете, угнетении иммунитета лекарственными препаратами (</w:t>
      </w:r>
      <w:proofErr w:type="spellStart"/>
      <w:r w:rsidRPr="00490B79">
        <w:rPr>
          <w:rFonts w:ascii="RobotoSlab-Regular" w:hAnsi="RobotoSlab-Regular"/>
          <w:sz w:val="24"/>
          <w:szCs w:val="24"/>
        </w:rPr>
        <w:t>глюкокортикоидами</w:t>
      </w:r>
      <w:proofErr w:type="spellEnd"/>
      <w:r w:rsidRPr="00490B79">
        <w:rPr>
          <w:rFonts w:ascii="RobotoSlab-Regular" w:hAnsi="RobotoSlab-Regular"/>
          <w:sz w:val="24"/>
          <w:szCs w:val="24"/>
        </w:rPr>
        <w:t>);</w:t>
      </w:r>
    </w:p>
    <w:p w:rsidR="00490B79" w:rsidRPr="00490B79" w:rsidRDefault="00490B79" w:rsidP="00490B79">
      <w:pPr>
        <w:numPr>
          <w:ilvl w:val="0"/>
          <w:numId w:val="3"/>
        </w:numPr>
        <w:spacing w:after="0" w:line="240" w:lineRule="auto"/>
        <w:ind w:left="-567" w:firstLine="425"/>
        <w:jc w:val="both"/>
        <w:rPr>
          <w:rFonts w:ascii="RobotoSlab-Regular" w:hAnsi="RobotoSlab-Regular"/>
          <w:sz w:val="24"/>
          <w:szCs w:val="24"/>
        </w:rPr>
      </w:pPr>
      <w:r w:rsidRPr="00490B79">
        <w:rPr>
          <w:rFonts w:ascii="RobotoSlab-Regular" w:hAnsi="RobotoSlab-Regular"/>
          <w:sz w:val="24"/>
          <w:szCs w:val="24"/>
        </w:rPr>
        <w:t xml:space="preserve">У больных онкологическими заболеваниями, ВИЧ-инфекцией, </w:t>
      </w:r>
      <w:proofErr w:type="spellStart"/>
      <w:r w:rsidRPr="00490B79">
        <w:rPr>
          <w:rFonts w:ascii="RobotoSlab-Regular" w:hAnsi="RobotoSlab-Regular"/>
          <w:sz w:val="24"/>
          <w:szCs w:val="24"/>
        </w:rPr>
        <w:t>саркоидозом</w:t>
      </w:r>
      <w:proofErr w:type="spellEnd"/>
      <w:r w:rsidRPr="00490B79">
        <w:rPr>
          <w:rFonts w:ascii="RobotoSlab-Regular" w:hAnsi="RobotoSlab-Regular"/>
          <w:sz w:val="24"/>
          <w:szCs w:val="24"/>
        </w:rPr>
        <w:t>;</w:t>
      </w:r>
    </w:p>
    <w:p w:rsidR="00490B79" w:rsidRPr="00490B79" w:rsidRDefault="00490B79" w:rsidP="00490B79">
      <w:pPr>
        <w:numPr>
          <w:ilvl w:val="0"/>
          <w:numId w:val="3"/>
        </w:numPr>
        <w:spacing w:after="0" w:line="240" w:lineRule="auto"/>
        <w:ind w:left="-567" w:firstLine="425"/>
        <w:jc w:val="both"/>
        <w:rPr>
          <w:rFonts w:ascii="RobotoSlab-Regular" w:hAnsi="RobotoSlab-Regular"/>
          <w:sz w:val="24"/>
          <w:szCs w:val="24"/>
        </w:rPr>
      </w:pPr>
      <w:r w:rsidRPr="00490B79">
        <w:rPr>
          <w:rFonts w:ascii="RobotoSlab-Regular" w:hAnsi="RobotoSlab-Regular"/>
          <w:sz w:val="24"/>
          <w:szCs w:val="24"/>
        </w:rPr>
        <w:t>При заболевании тяжёлыми формами туберкулёза;</w:t>
      </w:r>
    </w:p>
    <w:p w:rsidR="00490B79" w:rsidRPr="00490B79" w:rsidRDefault="00490B79" w:rsidP="00490B79">
      <w:pPr>
        <w:numPr>
          <w:ilvl w:val="0"/>
          <w:numId w:val="3"/>
        </w:numPr>
        <w:spacing w:after="0" w:line="240" w:lineRule="auto"/>
        <w:ind w:left="-567" w:firstLine="425"/>
        <w:jc w:val="both"/>
        <w:rPr>
          <w:rFonts w:ascii="RobotoSlab-Regular" w:hAnsi="RobotoSlab-Regular"/>
          <w:sz w:val="24"/>
          <w:szCs w:val="24"/>
        </w:rPr>
      </w:pPr>
      <w:r w:rsidRPr="00490B79">
        <w:rPr>
          <w:rFonts w:ascii="RobotoSlab-Regular" w:hAnsi="RobotoSlab-Regular"/>
          <w:sz w:val="24"/>
          <w:szCs w:val="24"/>
        </w:rPr>
        <w:t xml:space="preserve">Если пациент перенёс </w:t>
      </w:r>
      <w:proofErr w:type="gramStart"/>
      <w:r w:rsidRPr="00490B79">
        <w:rPr>
          <w:rFonts w:ascii="RobotoSlab-Regular" w:hAnsi="RobotoSlab-Regular"/>
          <w:sz w:val="24"/>
          <w:szCs w:val="24"/>
        </w:rPr>
        <w:t>вирусные</w:t>
      </w:r>
      <w:proofErr w:type="gramEnd"/>
      <w:r w:rsidRPr="00490B79">
        <w:rPr>
          <w:rFonts w:ascii="RobotoSlab-Regular" w:hAnsi="RobotoSlab-Regular"/>
          <w:sz w:val="24"/>
          <w:szCs w:val="24"/>
        </w:rPr>
        <w:t xml:space="preserve"> (корь, ветряную оспу, эпидемический паротит, грипп, инфекционный мононуклеоз);</w:t>
      </w:r>
    </w:p>
    <w:p w:rsidR="00490B79" w:rsidRPr="00490B79" w:rsidRDefault="00490B79" w:rsidP="00490B79">
      <w:pPr>
        <w:numPr>
          <w:ilvl w:val="0"/>
          <w:numId w:val="3"/>
        </w:numPr>
        <w:spacing w:after="0" w:line="240" w:lineRule="auto"/>
        <w:ind w:left="-567" w:firstLine="425"/>
        <w:jc w:val="both"/>
        <w:rPr>
          <w:rFonts w:ascii="RobotoSlab-Regular" w:hAnsi="RobotoSlab-Regular"/>
          <w:sz w:val="24"/>
          <w:szCs w:val="24"/>
        </w:rPr>
      </w:pPr>
      <w:r w:rsidRPr="00490B79">
        <w:rPr>
          <w:rFonts w:ascii="RobotoSlab-Regular" w:hAnsi="RobotoSlab-Regular"/>
          <w:sz w:val="24"/>
          <w:szCs w:val="24"/>
        </w:rPr>
        <w:t>При сочетанном инфицировании микобактериями туберкулёза приводит и ВИЧ;</w:t>
      </w:r>
    </w:p>
    <w:p w:rsidR="00490B79" w:rsidRPr="00490B79" w:rsidRDefault="00490B79" w:rsidP="00490B79">
      <w:pPr>
        <w:numPr>
          <w:ilvl w:val="0"/>
          <w:numId w:val="3"/>
        </w:numPr>
        <w:spacing w:after="0" w:line="240" w:lineRule="auto"/>
        <w:ind w:left="-567" w:firstLine="425"/>
        <w:jc w:val="both"/>
        <w:rPr>
          <w:rFonts w:ascii="RobotoSlab-Regular" w:hAnsi="RobotoSlab-Regular"/>
          <w:sz w:val="24"/>
          <w:szCs w:val="24"/>
        </w:rPr>
      </w:pPr>
      <w:r w:rsidRPr="00490B79">
        <w:rPr>
          <w:rFonts w:ascii="RobotoSlab-Regular" w:hAnsi="RobotoSlab-Regular"/>
          <w:sz w:val="24"/>
          <w:szCs w:val="24"/>
        </w:rPr>
        <w:t>После иммунизации живыми вакцинами (против кори, эпидемического паротита и краснухи).</w:t>
      </w:r>
    </w:p>
    <w:p w:rsidR="00490B79" w:rsidRPr="00490B79" w:rsidRDefault="00490B79" w:rsidP="00490B79">
      <w:pPr>
        <w:pStyle w:val="a3"/>
        <w:spacing w:before="0" w:beforeAutospacing="0" w:after="0" w:afterAutospacing="0"/>
        <w:ind w:left="-567" w:firstLine="425"/>
        <w:jc w:val="both"/>
        <w:rPr>
          <w:rFonts w:ascii="RobotoSlab-Regular" w:hAnsi="RobotoSlab-Regular"/>
        </w:rPr>
      </w:pPr>
      <w:r w:rsidRPr="00490B79">
        <w:rPr>
          <w:rFonts w:ascii="RobotoSlab-Regular" w:hAnsi="RobotoSlab-Regular"/>
        </w:rPr>
        <w:t>Интервал между любыми профилактическими прививками и пробой Манту должен составлять не менее одного месяца. Плановые прививки можно проводить после учета пробы Манту через 72 часа. К ложноположительной реакции при проведении пробы Манту может привести инфицирование нетуберкулезной микобактериями и предыдущая вакцинация БЦЖ.</w:t>
      </w:r>
    </w:p>
    <w:p w:rsidR="00490B79" w:rsidRPr="00490B79" w:rsidRDefault="00490B79" w:rsidP="00490B79">
      <w:pPr>
        <w:pStyle w:val="a3"/>
        <w:spacing w:before="0" w:beforeAutospacing="0" w:after="0" w:afterAutospacing="0"/>
        <w:ind w:left="-567" w:firstLine="425"/>
        <w:jc w:val="both"/>
        <w:rPr>
          <w:rFonts w:ascii="RobotoSlab-Regular" w:hAnsi="RobotoSlab-Regular"/>
        </w:rPr>
      </w:pPr>
      <w:r w:rsidRPr="00490B79">
        <w:rPr>
          <w:rFonts w:ascii="RobotoSlab-Regular" w:hAnsi="RobotoSlab-Regular"/>
        </w:rPr>
        <w:t xml:space="preserve">Иногда после пробы Манту у пациентов повышается температура тела, возникает общее недомогание, головная боль. Эти симптомы не требуют вмешательства и проходят самостоятельно. Где сделать пробу Манту в Москве? Пробу Манту можно сделать, позвонив по телефону контакт центра. Отзывы пациентов о проведении пробы Манту в </w:t>
      </w:r>
      <w:proofErr w:type="spellStart"/>
      <w:r w:rsidRPr="00490B79">
        <w:rPr>
          <w:rFonts w:ascii="RobotoSlab-Regular" w:hAnsi="RobotoSlab-Regular"/>
        </w:rPr>
        <w:t>Юсуповской</w:t>
      </w:r>
      <w:proofErr w:type="spellEnd"/>
      <w:r w:rsidRPr="00490B79">
        <w:rPr>
          <w:rFonts w:ascii="RobotoSlab-Regular" w:hAnsi="RobotoSlab-Regular"/>
        </w:rPr>
        <w:t xml:space="preserve"> больнице положительные.</w:t>
      </w:r>
    </w:p>
    <w:p w:rsidR="00490B79" w:rsidRPr="00490B79" w:rsidRDefault="00490B79" w:rsidP="00490B79">
      <w:pPr>
        <w:spacing w:after="0" w:line="240" w:lineRule="auto"/>
        <w:ind w:left="-567" w:firstLine="425"/>
        <w:jc w:val="both"/>
        <w:rPr>
          <w:rFonts w:ascii="RobotoSlab-Regular" w:eastAsia="Times New Roman" w:hAnsi="RobotoSlab-Regular" w:cs="Times New Roman"/>
          <w:sz w:val="24"/>
          <w:szCs w:val="24"/>
          <w:lang w:eastAsia="ru-RU"/>
        </w:rPr>
      </w:pPr>
    </w:p>
    <w:p w:rsidR="008A190F" w:rsidRPr="00490B79" w:rsidRDefault="00490B79" w:rsidP="00490B79">
      <w:pPr>
        <w:spacing w:after="0" w:line="240" w:lineRule="auto"/>
        <w:ind w:left="-567" w:firstLine="425"/>
        <w:jc w:val="both"/>
        <w:rPr>
          <w:b/>
          <w:sz w:val="24"/>
          <w:szCs w:val="24"/>
        </w:rPr>
      </w:pPr>
      <w:r w:rsidRPr="00490B79">
        <w:rPr>
          <w:noProof/>
          <w:lang w:eastAsia="ru-RU"/>
        </w:rPr>
        <w:drawing>
          <wp:inline distT="0" distB="0" distL="0" distR="0" wp14:anchorId="59A8129F" wp14:editId="1FDF4517">
            <wp:extent cx="5463250" cy="4101765"/>
            <wp:effectExtent l="0" t="0" r="4445" b="0"/>
            <wp:docPr id="1" name="Рисунок 1" descr="https://konstruktor-diety.ru/wp-content/uploads/2019/08/erjkrw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nstruktor-diety.ru/wp-content/uploads/2019/08/erjkrwph.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67872" cy="4105235"/>
                    </a:xfrm>
                    <a:prstGeom prst="rect">
                      <a:avLst/>
                    </a:prstGeom>
                    <a:noFill/>
                    <a:ln>
                      <a:noFill/>
                    </a:ln>
                  </pic:spPr>
                </pic:pic>
              </a:graphicData>
            </a:graphic>
          </wp:inline>
        </w:drawing>
      </w:r>
    </w:p>
    <w:sectPr w:rsidR="008A190F" w:rsidRPr="00490B79" w:rsidSect="00490B79">
      <w:pgSz w:w="11906" w:h="16838"/>
      <w:pgMar w:top="1134" w:right="850" w:bottom="1134" w:left="1701"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obotoSlab-Bold">
    <w:altName w:val="Times New Roman"/>
    <w:panose1 w:val="00000000000000000000"/>
    <w:charset w:val="00"/>
    <w:family w:val="roman"/>
    <w:notTrueType/>
    <w:pitch w:val="default"/>
  </w:font>
  <w:font w:name="RobotoSlab-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ED22B7"/>
    <w:multiLevelType w:val="multilevel"/>
    <w:tmpl w:val="E72C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4074C7"/>
    <w:multiLevelType w:val="multilevel"/>
    <w:tmpl w:val="B0C0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613CAF"/>
    <w:multiLevelType w:val="multilevel"/>
    <w:tmpl w:val="9802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B79"/>
    <w:rsid w:val="00490B79"/>
    <w:rsid w:val="008A1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90B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90B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0B7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90B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490B79"/>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490B7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0B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90B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90B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0B7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90B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490B79"/>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490B7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0B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693818">
      <w:bodyDiv w:val="1"/>
      <w:marLeft w:val="0"/>
      <w:marRight w:val="0"/>
      <w:marTop w:val="0"/>
      <w:marBottom w:val="0"/>
      <w:divBdr>
        <w:top w:val="none" w:sz="0" w:space="0" w:color="auto"/>
        <w:left w:val="none" w:sz="0" w:space="0" w:color="auto"/>
        <w:bottom w:val="none" w:sz="0" w:space="0" w:color="auto"/>
        <w:right w:val="none" w:sz="0" w:space="0" w:color="auto"/>
      </w:divBdr>
    </w:div>
    <w:div w:id="350647716">
      <w:bodyDiv w:val="1"/>
      <w:marLeft w:val="0"/>
      <w:marRight w:val="0"/>
      <w:marTop w:val="0"/>
      <w:marBottom w:val="0"/>
      <w:divBdr>
        <w:top w:val="none" w:sz="0" w:space="0" w:color="auto"/>
        <w:left w:val="none" w:sz="0" w:space="0" w:color="auto"/>
        <w:bottom w:val="none" w:sz="0" w:space="0" w:color="auto"/>
        <w:right w:val="none" w:sz="0" w:space="0" w:color="auto"/>
      </w:divBdr>
    </w:div>
    <w:div w:id="486937970">
      <w:bodyDiv w:val="1"/>
      <w:marLeft w:val="0"/>
      <w:marRight w:val="0"/>
      <w:marTop w:val="0"/>
      <w:marBottom w:val="0"/>
      <w:divBdr>
        <w:top w:val="none" w:sz="0" w:space="0" w:color="auto"/>
        <w:left w:val="none" w:sz="0" w:space="0" w:color="auto"/>
        <w:bottom w:val="none" w:sz="0" w:space="0" w:color="auto"/>
        <w:right w:val="none" w:sz="0" w:space="0" w:color="auto"/>
      </w:divBdr>
    </w:div>
    <w:div w:id="1093665487">
      <w:bodyDiv w:val="1"/>
      <w:marLeft w:val="0"/>
      <w:marRight w:val="0"/>
      <w:marTop w:val="0"/>
      <w:marBottom w:val="0"/>
      <w:divBdr>
        <w:top w:val="none" w:sz="0" w:space="0" w:color="auto"/>
        <w:left w:val="none" w:sz="0" w:space="0" w:color="auto"/>
        <w:bottom w:val="none" w:sz="0" w:space="0" w:color="auto"/>
        <w:right w:val="none" w:sz="0" w:space="0" w:color="auto"/>
      </w:divBdr>
      <w:divsChild>
        <w:div w:id="633758127">
          <w:marLeft w:val="0"/>
          <w:marRight w:val="0"/>
          <w:marTop w:val="300"/>
          <w:marBottom w:val="300"/>
          <w:divBdr>
            <w:top w:val="none" w:sz="0" w:space="0" w:color="auto"/>
            <w:left w:val="none" w:sz="0" w:space="0" w:color="auto"/>
            <w:bottom w:val="none" w:sz="0" w:space="0" w:color="auto"/>
            <w:right w:val="none" w:sz="0" w:space="0" w:color="auto"/>
          </w:divBdr>
        </w:div>
        <w:div w:id="441732864">
          <w:marLeft w:val="0"/>
          <w:marRight w:val="0"/>
          <w:marTop w:val="0"/>
          <w:marBottom w:val="0"/>
          <w:divBdr>
            <w:top w:val="none" w:sz="0" w:space="0" w:color="auto"/>
            <w:left w:val="none" w:sz="0" w:space="0" w:color="auto"/>
            <w:bottom w:val="none" w:sz="0" w:space="0" w:color="auto"/>
            <w:right w:val="none" w:sz="0" w:space="0" w:color="auto"/>
          </w:divBdr>
          <w:divsChild>
            <w:div w:id="226771026">
              <w:marLeft w:val="0"/>
              <w:marRight w:val="0"/>
              <w:marTop w:val="0"/>
              <w:marBottom w:val="0"/>
              <w:divBdr>
                <w:top w:val="none" w:sz="0" w:space="0" w:color="auto"/>
                <w:left w:val="none" w:sz="0" w:space="0" w:color="auto"/>
                <w:bottom w:val="none" w:sz="0" w:space="0" w:color="auto"/>
                <w:right w:val="none" w:sz="0" w:space="0" w:color="auto"/>
              </w:divBdr>
            </w:div>
          </w:divsChild>
        </w:div>
        <w:div w:id="1349411338">
          <w:marLeft w:val="0"/>
          <w:marRight w:val="0"/>
          <w:marTop w:val="0"/>
          <w:marBottom w:val="0"/>
          <w:divBdr>
            <w:top w:val="none" w:sz="0" w:space="0" w:color="auto"/>
            <w:left w:val="none" w:sz="0" w:space="0" w:color="auto"/>
            <w:bottom w:val="none" w:sz="0" w:space="0" w:color="auto"/>
            <w:right w:val="none" w:sz="0" w:space="0" w:color="auto"/>
          </w:divBdr>
        </w:div>
      </w:divsChild>
    </w:div>
    <w:div w:id="173103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1392</Words>
  <Characters>7939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МЕДПУНКТ</dc:creator>
  <cp:lastModifiedBy>МЕДПУНКТ</cp:lastModifiedBy>
  <cp:revision>1</cp:revision>
  <cp:lastPrinted>2023-10-23T04:01:00Z</cp:lastPrinted>
  <dcterms:created xsi:type="dcterms:W3CDTF">2023-10-23T03:55:00Z</dcterms:created>
  <dcterms:modified xsi:type="dcterms:W3CDTF">2023-10-23T04:02:00Z</dcterms:modified>
</cp:coreProperties>
</file>