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7C4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>математики в классах с русским языком обучения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6F4C39" w:rsidP="007C4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>казахского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 xml:space="preserve">классы с русским языком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обучения)</w:t>
            </w:r>
          </w:p>
        </w:tc>
        <w:tc>
          <w:tcPr>
            <w:tcW w:w="1589" w:type="dxa"/>
          </w:tcPr>
          <w:p w:rsidR="008B7554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образования; являться участником или призером, или победителем конкурса профессионального мастерства или иметь участников или победителей, или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распростронять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учебнометодических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40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</w:t>
            </w:r>
            <w:proofErr w:type="spellStart"/>
            <w:r w:rsidRPr="00240AAB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обучающихся в период образовательного процесса; 3.20. осуществляет сотрудничество с родителями или лицами, их заменяющими; 3.21. заполняет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="00626BB0">
        <w:rPr>
          <w:rFonts w:ascii="Times New Roman" w:hAnsi="Times New Roman" w:cs="Times New Roman"/>
          <w:sz w:val="32"/>
          <w:szCs w:val="32"/>
        </w:rPr>
        <w:t xml:space="preserve">: с </w:t>
      </w:r>
      <w:r w:rsidR="007C4E24">
        <w:rPr>
          <w:rFonts w:ascii="Times New Roman" w:hAnsi="Times New Roman" w:cs="Times New Roman"/>
          <w:sz w:val="32"/>
          <w:szCs w:val="32"/>
        </w:rPr>
        <w:t>19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 w:rsidR="00626BB0">
        <w:rPr>
          <w:rFonts w:ascii="Times New Roman" w:hAnsi="Times New Roman" w:cs="Times New Roman"/>
          <w:sz w:val="32"/>
          <w:szCs w:val="32"/>
        </w:rPr>
        <w:t>2</w:t>
      </w:r>
      <w:r w:rsidR="007C4E24">
        <w:rPr>
          <w:rFonts w:ascii="Times New Roman" w:hAnsi="Times New Roman" w:cs="Times New Roman"/>
          <w:sz w:val="32"/>
          <w:szCs w:val="32"/>
        </w:rPr>
        <w:t>7   декабря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Pr="00221F02">
        <w:rPr>
          <w:rFonts w:ascii="Times New Roman" w:hAnsi="Times New Roman" w:cs="Times New Roman"/>
          <w:sz w:val="32"/>
          <w:szCs w:val="32"/>
        </w:rPr>
        <w:t xml:space="preserve">2023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  <w:bookmarkStart w:id="0" w:name="_GoBack"/>
      <w:bookmarkEnd w:id="0"/>
    </w:p>
    <w:sectPr w:rsidR="00E17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4"/>
    <w:rsid w:val="000D7444"/>
    <w:rsid w:val="001D4670"/>
    <w:rsid w:val="00213CE4"/>
    <w:rsid w:val="00221F02"/>
    <w:rsid w:val="00240AAB"/>
    <w:rsid w:val="00626BB0"/>
    <w:rsid w:val="006740D1"/>
    <w:rsid w:val="006F4C39"/>
    <w:rsid w:val="007C4E24"/>
    <w:rsid w:val="008B7554"/>
    <w:rsid w:val="00994ABB"/>
    <w:rsid w:val="00B65EFB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5E42"/>
  <w15:chartTrackingRefBased/>
  <w15:docId w15:val="{473D8A81-A881-4EC8-839E-4584A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2023-12-11T10:05:00Z</dcterms:created>
  <dcterms:modified xsi:type="dcterms:W3CDTF">2023-12-11T10:05:00Z</dcterms:modified>
</cp:coreProperties>
</file>