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E4E15" w14:textId="40063746" w:rsidR="00871525" w:rsidRDefault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49834262" w14:textId="4B968E28" w:rsidR="00871525" w:rsidRDefault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69D8653A" w14:textId="2DB053F6" w:rsidR="00871525" w:rsidRDefault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6091E1CD" w14:textId="579062B8" w:rsidR="00871525" w:rsidRDefault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2C164753" w14:textId="77777777" w:rsidR="00871525" w:rsidRPr="00C248F9" w:rsidRDefault="00871525" w:rsidP="00C248F9">
      <w:pPr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C248F9">
        <w:rPr>
          <w:rFonts w:ascii="Times New Roman" w:hAnsi="Times New Roman" w:cs="Times New Roman"/>
          <w:b/>
          <w:sz w:val="28"/>
          <w:szCs w:val="28"/>
          <w:lang w:val="ru-KZ"/>
        </w:rPr>
        <w:t>Оқушылардың тамақтану сапасын бақылау және ұйымдастыру жөніндегі Нұсқаулық</w:t>
      </w:r>
    </w:p>
    <w:p w14:paraId="28766B74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620505EC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Мектеп асханаларының сапасына мониторинг жүргізу жөніндегі іс – шаралар білім басқармасы (Білім бөлімі) бастығының бұйрығымен бекітілген ведомствоаралық сараптама тобының (бұдан әрі-Мег) жұмысы шеңберінде қатаң түрде жүргізілуі тиіс.</w:t>
      </w:r>
    </w:p>
    <w:p w14:paraId="75C12531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ЭГМ міндеті-білім беру ұйымы жанынан құрылған тамақтану сапасына мониторинг жүргізу жөніндегі комиссиялардың қызметіне жүйелі мониторинг жүргізу және оқушылардың тамақтануын тиімді ұйымдастыру жөнінде шаралар қабылдау.</w:t>
      </w:r>
    </w:p>
    <w:p w14:paraId="0DBCCFAD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1F77D187" w14:textId="77777777" w:rsidR="00871525" w:rsidRPr="00C248F9" w:rsidRDefault="00871525" w:rsidP="00871525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C248F9">
        <w:rPr>
          <w:rFonts w:ascii="Times New Roman" w:hAnsi="Times New Roman" w:cs="Times New Roman"/>
          <w:b/>
          <w:sz w:val="28"/>
          <w:szCs w:val="28"/>
          <w:lang w:val="ru-KZ"/>
        </w:rPr>
        <w:t>Мониторинг келесі бағыттар бойынша жүзеге асырылады:</w:t>
      </w:r>
    </w:p>
    <w:p w14:paraId="52ADEBED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7540D2AA" w14:textId="77777777" w:rsidR="00871525" w:rsidRPr="00C248F9" w:rsidRDefault="00871525" w:rsidP="00871525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C248F9">
        <w:rPr>
          <w:rFonts w:ascii="Times New Roman" w:hAnsi="Times New Roman" w:cs="Times New Roman"/>
          <w:b/>
          <w:sz w:val="28"/>
          <w:szCs w:val="28"/>
          <w:lang w:val="ru-KZ"/>
        </w:rPr>
        <w:t>Міндетті талаптар:</w:t>
      </w:r>
    </w:p>
    <w:p w14:paraId="52DEAF5B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1. Есеп құжаттамасын жүргізу және бракераждық мектеп Комиссиясының жұмысы. Бракераждық мектеп комиссиясының жұмысына қатысты құжаттарды және мектептегі тамақтану бойынша есепке алу құжаттамасын сұрату қажет:</w:t>
      </w:r>
    </w:p>
    <w:p w14:paraId="43FA099B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1. Бракераж комиссиясын құру туралы бұйрық, құрылған күні;</w:t>
      </w:r>
    </w:p>
    <w:p w14:paraId="6A4F4716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2. Бракераж комиссиясының құрамы, бекітілген жұмыс жоспары, актілердің, хаттамалардың болуы;</w:t>
      </w:r>
    </w:p>
    <w:p w14:paraId="7E6717A4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3. Бекітілген мәзірдің болуы (күнделікті және перспективалық мәзірдің болуы)</w:t>
      </w:r>
    </w:p>
    <w:p w14:paraId="5402EA0F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4. Мәзірді ескере отырып, тағамдардың әртүрлілігі;</w:t>
      </w:r>
    </w:p>
    <w:p w14:paraId="0EDA287B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5. Шикі және дайын өнімдердің бракераждық журналдарының болуы;</w:t>
      </w:r>
    </w:p>
    <w:p w14:paraId="624FA0CB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6. Арнайы бөлінген автокөлікте тиісті ыдыста тамақ өнімдерін жеткізу қағидалары;</w:t>
      </w:r>
    </w:p>
    <w:p w14:paraId="23D868BC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lastRenderedPageBreak/>
        <w:t>7. Ыстық, мектептегі тамақтануды ұйымдастыру бойынша ай сайынғы есептер мен мониторинг;</w:t>
      </w:r>
    </w:p>
    <w:p w14:paraId="4036B7BC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8. Есептерді интернет-ресурста орналастыру;</w:t>
      </w:r>
    </w:p>
    <w:p w14:paraId="0E336D0F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Мектеп әкімшілігінің тамақтануын ұйымдастыру. Жұмыс шеңберінде визуалды тексеру жүзеге асырылады:</w:t>
      </w:r>
    </w:p>
    <w:p w14:paraId="65EB900B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1. Мектеп асханасындағы мектеп әкімшілігінің кезекшілік кестесі;</w:t>
      </w:r>
    </w:p>
    <w:p w14:paraId="1901EDA9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2. Оқушылардың тамақтану режимі (кесте, тамақтану уақытының ұзақтығы асхананың жұмыс режимі);</w:t>
      </w:r>
    </w:p>
    <w:p w14:paraId="7A0722F0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3. Ауыз су режимін сақтау, экологиялық таза ауыз сумен қамтамасыз ету (ауыз су бұрқақтарының, диспенсерлердің болуы, салқындатқыштарды уақтылы тазалау);</w:t>
      </w:r>
    </w:p>
    <w:p w14:paraId="7ED45A61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4. Қолды жууға қажетті жағдайдың болуы;</w:t>
      </w:r>
    </w:p>
    <w:p w14:paraId="339C2B8F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Мектептегі тамақтану рационының бірыңғай тамақтану стандарттарына сәйкестігі:</w:t>
      </w:r>
    </w:p>
    <w:p w14:paraId="5D933255" w14:textId="49C7098F" w:rsidR="00871525" w:rsidRPr="00C248F9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1. Білім беру ұйымдарында тыйым салынған өнімдерд</w:t>
      </w:r>
      <w:r w:rsidR="00C248F9">
        <w:rPr>
          <w:rFonts w:ascii="Times New Roman" w:hAnsi="Times New Roman" w:cs="Times New Roman"/>
          <w:sz w:val="28"/>
          <w:szCs w:val="28"/>
          <w:lang w:val="ru-KZ"/>
        </w:rPr>
        <w:t>ің болуы (тізім қоса беріледі).</w:t>
      </w:r>
    </w:p>
    <w:p w14:paraId="72FEC955" w14:textId="77777777" w:rsidR="00871525" w:rsidRPr="00C248F9" w:rsidRDefault="00871525" w:rsidP="00871525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C248F9">
        <w:rPr>
          <w:rFonts w:ascii="Times New Roman" w:hAnsi="Times New Roman" w:cs="Times New Roman"/>
          <w:b/>
          <w:sz w:val="28"/>
          <w:szCs w:val="28"/>
          <w:lang w:val="ru-KZ"/>
        </w:rPr>
        <w:t>Қосымша ақпарат</w:t>
      </w:r>
    </w:p>
    <w:p w14:paraId="337EB5A5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1F0B46D9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1. Ата-аналардың шағымдары мен ұсыныстары кітабы (шағымдар мен қабылданған шараларды бақылау).</w:t>
      </w:r>
    </w:p>
    <w:p w14:paraId="0EA9A663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2. Мектеп асханасын безендіру (Денсаулық бұрышының, жұмыс режимінің, "Ас болсын" плакаттарының, "жағымды тәбеттің" және т. б. болуы, дизайн мен мектеп эргономикасының заманауи талаптарын ескере отырып);</w:t>
      </w:r>
    </w:p>
    <w:p w14:paraId="1D60D63F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3. Мектеп асханасында және ас блогында бейнекамераның болуы.</w:t>
      </w:r>
    </w:p>
    <w:p w14:paraId="2707DDCB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73D48358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1. СӨС және дұрыс тамақтануды насихаттау жөніндегі іс-шаралар жоспары (мектепте, сыныпта, ата-аналар жиналысында және т. б.);</w:t>
      </w:r>
    </w:p>
    <w:p w14:paraId="3ABFB590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2. Мектеп асханасында дұрыс тамақтану принциптері туралы ақпараттық материалдардың болуы;</w:t>
      </w:r>
    </w:p>
    <w:p w14:paraId="67A5330C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3. Мектептегі дұрыс тамақтануды насихаттаудың интерактивті әдістері (бейнефильмдер, бейнероликтер, сынып сағаттары, дәрістер, кездесу, дөңгелек үстел, конференциялар және т. б.);</w:t>
      </w:r>
    </w:p>
    <w:p w14:paraId="47A4361D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lastRenderedPageBreak/>
        <w:t>4. ДДҰ-ның "денсаулыққа ықпал ететін мектептер"әдістемелік ұсыныстарын қолдану.</w:t>
      </w:r>
    </w:p>
    <w:p w14:paraId="4830EE3F" w14:textId="1723010B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5. Тұтынушылардың құқықтарын қорғау жөніндегі органдармен келісі</w:t>
      </w:r>
      <w:r w:rsidR="00C248F9">
        <w:rPr>
          <w:rFonts w:ascii="Times New Roman" w:hAnsi="Times New Roman" w:cs="Times New Roman"/>
          <w:sz w:val="28"/>
          <w:szCs w:val="28"/>
          <w:lang w:val="ru-KZ"/>
        </w:rPr>
        <w:t>лген буфет өнімдерінің түрлері.</w:t>
      </w:r>
    </w:p>
    <w:p w14:paraId="242A310B" w14:textId="513A17D6" w:rsidR="00871525" w:rsidRPr="00C248F9" w:rsidRDefault="00871525" w:rsidP="00871525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C248F9">
        <w:rPr>
          <w:rFonts w:ascii="Times New Roman" w:hAnsi="Times New Roman" w:cs="Times New Roman"/>
          <w:b/>
          <w:sz w:val="28"/>
          <w:szCs w:val="28"/>
          <w:lang w:val="ru-KZ"/>
        </w:rPr>
        <w:t>Т</w:t>
      </w:r>
      <w:r w:rsidR="00C248F9">
        <w:rPr>
          <w:rFonts w:ascii="Times New Roman" w:hAnsi="Times New Roman" w:cs="Times New Roman"/>
          <w:b/>
          <w:sz w:val="28"/>
          <w:szCs w:val="28"/>
          <w:lang w:val="ru-KZ"/>
        </w:rPr>
        <w:t>ыйым салынған өнімдердің тізімі</w:t>
      </w:r>
    </w:p>
    <w:p w14:paraId="01A82FB1" w14:textId="77777777" w:rsidR="00871525" w:rsidRPr="00C248F9" w:rsidRDefault="00871525" w:rsidP="00871525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C248F9">
        <w:rPr>
          <w:rFonts w:ascii="Times New Roman" w:hAnsi="Times New Roman" w:cs="Times New Roman"/>
          <w:b/>
          <w:sz w:val="28"/>
          <w:szCs w:val="28"/>
          <w:lang w:val="ru-KZ"/>
        </w:rPr>
        <w:t>Қоғамдық тамақтандыру ұйымдарында тәрбие және білім беру объектілеріне жол берілмейді:</w:t>
      </w:r>
    </w:p>
    <w:p w14:paraId="2C3A51B9" w14:textId="77777777" w:rsidR="00871525" w:rsidRPr="00C248F9" w:rsidRDefault="00871525" w:rsidP="00871525">
      <w:pPr>
        <w:rPr>
          <w:rFonts w:ascii="Times New Roman" w:hAnsi="Times New Roman" w:cs="Times New Roman"/>
          <w:b/>
          <w:sz w:val="28"/>
          <w:szCs w:val="28"/>
          <w:lang w:val="ru-KZ"/>
        </w:rPr>
      </w:pPr>
    </w:p>
    <w:p w14:paraId="545DF76E" w14:textId="77777777" w:rsidR="00871525" w:rsidRPr="00C248F9" w:rsidRDefault="00871525" w:rsidP="00871525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C248F9">
        <w:rPr>
          <w:rFonts w:ascii="Times New Roman" w:hAnsi="Times New Roman" w:cs="Times New Roman"/>
          <w:b/>
          <w:sz w:val="28"/>
          <w:szCs w:val="28"/>
          <w:lang w:val="ru-KZ"/>
        </w:rPr>
        <w:t>1) дайындау және өткізу:</w:t>
      </w:r>
    </w:p>
    <w:p w14:paraId="33EA1868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йогурт, сүзбе, айран;</w:t>
      </w:r>
    </w:p>
    <w:p w14:paraId="36B71D0E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толтырылған құймақ;</w:t>
      </w:r>
    </w:p>
    <w:p w14:paraId="29E282AC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Флот стиліндегі макарон;</w:t>
      </w:r>
    </w:p>
    <w:p w14:paraId="71BBB921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сельцев, форшмаков, желе, паштетов;</w:t>
      </w:r>
    </w:p>
    <w:p w14:paraId="49BA0D1E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кремі бар кондитерлік өнімдер;</w:t>
      </w:r>
    </w:p>
    <w:p w14:paraId="0196018F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кондитерлік өнімдер мен кәмпиттер (шоколад, кәмпиттер, печенье) тұтынушылық қаптамада;</w:t>
      </w:r>
    </w:p>
    <w:p w14:paraId="72C66D43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жеміс сусындары, квас;</w:t>
      </w:r>
    </w:p>
    <w:p w14:paraId="415AAAE3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қуырылған өнімдер;</w:t>
      </w:r>
    </w:p>
    <w:p w14:paraId="4E5A9C1B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жұмсақ пісірілген жұмыртқа, глазурь жұмыртқалары;</w:t>
      </w:r>
    </w:p>
    <w:p w14:paraId="0523A941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күрделі (төрт компоненттен астам) салаттар; қаймақ пен майонез қосылған салаттар;</w:t>
      </w:r>
    </w:p>
    <w:p w14:paraId="4420D63D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окрошки;</w:t>
      </w:r>
    </w:p>
    <w:p w14:paraId="3AC7C1C5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саңырауқұлақтар;</w:t>
      </w:r>
    </w:p>
    <w:p w14:paraId="1C6173B7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өнеркәсіптік емес (үйде) тамақ өнімдерін дайындау;</w:t>
      </w:r>
    </w:p>
    <w:p w14:paraId="61A10274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жылдам құрғақ тағам концентраттарына негізделген бірінші және екінші тағамдар</w:t>
      </w:r>
    </w:p>
    <w:p w14:paraId="78E80736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дайындау;</w:t>
      </w:r>
    </w:p>
    <w:p w14:paraId="7869921B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газдалған, емдік және емдік-асханалық минералды суларды, тәтті алкогольсіз сусындарды, алкогольсіз энергетикалық (тоник) сусындарды, концентрацияланған диффузиялық шырындарды (оралған минералды және ауыз суларды қоспағанда);</w:t>
      </w:r>
    </w:p>
    <w:p w14:paraId="051720CE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lastRenderedPageBreak/>
        <w:t>фаст-фуд: гамбургерлер, хот-догтар, чиптер, крекер, киришек;</w:t>
      </w:r>
    </w:p>
    <w:p w14:paraId="63523036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ыстық тұздықтар, кетчуптер, ыстық дәмдеуіштер (бұрыш, желкек, қыша) ;</w:t>
      </w:r>
    </w:p>
    <w:p w14:paraId="63107C5B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0A7F88C0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 xml:space="preserve">2) </w:t>
      </w:r>
      <w:bookmarkStart w:id="0" w:name="_GoBack"/>
      <w:r w:rsidRPr="00C248F9">
        <w:rPr>
          <w:rFonts w:ascii="Times New Roman" w:hAnsi="Times New Roman" w:cs="Times New Roman"/>
          <w:b/>
          <w:sz w:val="28"/>
          <w:szCs w:val="28"/>
          <w:lang w:val="ru-KZ"/>
        </w:rPr>
        <w:t>пайдалану:</w:t>
      </w:r>
      <w:bookmarkEnd w:id="0"/>
    </w:p>
    <w:p w14:paraId="59ADF17C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термиялық өңдеусіз пастерленбеген сүт, сүзбе және қаймақ;</w:t>
      </w:r>
    </w:p>
    <w:p w14:paraId="011603AF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суда жүзетін құстардың жұмыртқалары мен еті;</w:t>
      </w:r>
    </w:p>
    <w:p w14:paraId="4497F7B0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ауыл шаруашылығы жануарларының аурушаңдығы бойынша қолайсыз шаруашылықтардан алынған сүт және сүт өнімдері;</w:t>
      </w:r>
    </w:p>
    <w:p w14:paraId="1505EDBD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тілді, жүректі қоспағанда, өнімді жануарлар мен құстардың қосалқы өнімдері;</w:t>
      </w:r>
    </w:p>
    <w:p w14:paraId="1F7E1F96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өнімді жануарлардың еті және механикалық сүйектен жасалған құс еті;</w:t>
      </w:r>
    </w:p>
    <w:p w14:paraId="448E929C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құс етінен коллаген бар шикізат;</w:t>
      </w:r>
    </w:p>
    <w:p w14:paraId="2C9B51B3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қайта мұздатуға ұшыраған өнімді жануарлар мен құстарды сою өнімдері;</w:t>
      </w:r>
    </w:p>
    <w:p w14:paraId="5D9A1080" w14:textId="77777777" w:rsidR="00871525" w:rsidRPr="00871525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генетикалық түрлендірілген шикізат және (немесе) генетикалық түрлендірілген көздері бар шикізат;</w:t>
      </w:r>
    </w:p>
    <w:p w14:paraId="5928003D" w14:textId="7A77DB7C" w:rsidR="00871525" w:rsidRPr="005A3F9F" w:rsidRDefault="00871525" w:rsidP="00871525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71525">
        <w:rPr>
          <w:rFonts w:ascii="Times New Roman" w:hAnsi="Times New Roman" w:cs="Times New Roman"/>
          <w:sz w:val="28"/>
          <w:szCs w:val="28"/>
          <w:lang w:val="ru-KZ"/>
        </w:rPr>
        <w:t>құрамында темірі бар дәрумендермен, жоғары және бірінші сұрыпты бидай ұнының минералдарымен байытылмаған (бекемделмеген) тұз.</w:t>
      </w:r>
    </w:p>
    <w:sectPr w:rsidR="00871525" w:rsidRPr="005A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883"/>
    <w:multiLevelType w:val="multilevel"/>
    <w:tmpl w:val="76B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33230"/>
    <w:multiLevelType w:val="multilevel"/>
    <w:tmpl w:val="8F66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8CA356A"/>
    <w:multiLevelType w:val="multilevel"/>
    <w:tmpl w:val="B1D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D4C0E"/>
    <w:multiLevelType w:val="multilevel"/>
    <w:tmpl w:val="0CC8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2AF6DB2"/>
    <w:multiLevelType w:val="multilevel"/>
    <w:tmpl w:val="3B6C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C362E5"/>
    <w:multiLevelType w:val="multilevel"/>
    <w:tmpl w:val="7D40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5E"/>
    <w:rsid w:val="001B4C99"/>
    <w:rsid w:val="001B7619"/>
    <w:rsid w:val="002D3526"/>
    <w:rsid w:val="00501983"/>
    <w:rsid w:val="005A3F9F"/>
    <w:rsid w:val="00871525"/>
    <w:rsid w:val="009F345E"/>
    <w:rsid w:val="00C248F9"/>
    <w:rsid w:val="00F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F5BD"/>
  <w15:chartTrackingRefBased/>
  <w15:docId w15:val="{BDC2B518-31A4-4D7A-B455-9869B9AA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1B4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99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1B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HTML">
    <w:name w:val="HTML Preformatted"/>
    <w:basedOn w:val="a"/>
    <w:link w:val="HTML0"/>
    <w:uiPriority w:val="99"/>
    <w:semiHidden/>
    <w:unhideWhenUsed/>
    <w:rsid w:val="001B4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C99"/>
    <w:rPr>
      <w:rFonts w:ascii="Courier New" w:eastAsia="Times New Roman" w:hAnsi="Courier New" w:cs="Courier New"/>
      <w:sz w:val="20"/>
      <w:szCs w:val="20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Krotenko</dc:creator>
  <cp:keywords/>
  <dc:description/>
  <cp:lastModifiedBy>HP</cp:lastModifiedBy>
  <cp:revision>8</cp:revision>
  <cp:lastPrinted>2022-05-17T04:56:00Z</cp:lastPrinted>
  <dcterms:created xsi:type="dcterms:W3CDTF">2022-04-22T04:56:00Z</dcterms:created>
  <dcterms:modified xsi:type="dcterms:W3CDTF">2023-02-10T03:50:00Z</dcterms:modified>
</cp:coreProperties>
</file>