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387E4C80"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AA2F61">
        <w:rPr>
          <w:rFonts w:asciiTheme="majorBidi" w:hAnsiTheme="majorBidi" w:cstheme="majorBidi"/>
          <w:sz w:val="28"/>
          <w:szCs w:val="28"/>
        </w:rPr>
        <w:t xml:space="preserve">воспитатель </w:t>
      </w:r>
      <w:proofErr w:type="spellStart"/>
      <w:r w:rsidR="00AA2F61">
        <w:rPr>
          <w:rFonts w:asciiTheme="majorBidi" w:hAnsiTheme="majorBidi" w:cstheme="majorBidi"/>
          <w:sz w:val="28"/>
          <w:szCs w:val="28"/>
        </w:rPr>
        <w:t>предшкольной</w:t>
      </w:r>
      <w:proofErr w:type="spellEnd"/>
      <w:r w:rsidR="00AA2F61">
        <w:rPr>
          <w:rFonts w:asciiTheme="majorBidi" w:hAnsiTheme="majorBidi" w:cstheme="majorBidi"/>
          <w:sz w:val="28"/>
          <w:szCs w:val="28"/>
        </w:rPr>
        <w:t xml:space="preserve"> подготовки</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012D3212"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AA2F61">
        <w:rPr>
          <w:rFonts w:asciiTheme="majorBidi" w:hAnsiTheme="majorBidi" w:cstheme="majorBidi"/>
          <w:sz w:val="28"/>
          <w:szCs w:val="28"/>
          <w:lang w:val="kk-KZ"/>
        </w:rPr>
        <w:t>109 898</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508622C1"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AA2F61">
        <w:rPr>
          <w:rFonts w:asciiTheme="majorBidi" w:hAnsiTheme="majorBidi" w:cstheme="majorBidi"/>
          <w:sz w:val="28"/>
          <w:szCs w:val="28"/>
        </w:rPr>
        <w:t>89 193</w:t>
      </w:r>
      <w:bookmarkStart w:id="49" w:name="_GoBack"/>
      <w:bookmarkEnd w:id="49"/>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9665B"/>
    <w:rsid w:val="002D3B24"/>
    <w:rsid w:val="003561D7"/>
    <w:rsid w:val="00454798"/>
    <w:rsid w:val="00480B1B"/>
    <w:rsid w:val="006533E3"/>
    <w:rsid w:val="0080676A"/>
    <w:rsid w:val="00896448"/>
    <w:rsid w:val="009A2CAF"/>
    <w:rsid w:val="00AA2F61"/>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2868</Words>
  <Characters>16352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9</cp:revision>
  <dcterms:created xsi:type="dcterms:W3CDTF">2021-08-20T06:54:00Z</dcterms:created>
  <dcterms:modified xsi:type="dcterms:W3CDTF">2021-08-20T07:21:00Z</dcterms:modified>
</cp:coreProperties>
</file>