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D41946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маслихата,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>Решение Экспертной группы принимается большинством голосов из числа присутствующих членов и оформля</w:t>
      </w:r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r>
        <w:rPr>
          <w:rFonts w:ascii="Arial" w:eastAsia="Times New Roman" w:hAnsi="Arial" w:cs="Arial"/>
          <w:sz w:val="28"/>
          <w:szCs w:val="28"/>
        </w:rPr>
        <w:t>тся</w:t>
      </w:r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фото-видеофиксации;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заслушивать членов комиссии по контролю за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>по контролю за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r w:rsidRPr="00333307">
        <w:rPr>
          <w:rFonts w:ascii="Arial" w:hAnsi="Arial" w:cs="Arial"/>
          <w:sz w:val="24"/>
          <w:szCs w:val="24"/>
        </w:rPr>
        <w:t>санитарно-эпидемиологическое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Наличие приказа о создании бракеражной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плана работы бракеражной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Соблюдение питьевого режима обучающихся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питани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бракеражной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headerReference w:type="first" r:id="rId10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1D" w:rsidRDefault="0011711D" w:rsidP="00BC1EC3">
      <w:r>
        <w:separator/>
      </w:r>
    </w:p>
  </w:endnote>
  <w:endnote w:type="continuationSeparator" w:id="0">
    <w:p w:rsidR="0011711D" w:rsidRDefault="0011711D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1D" w:rsidRDefault="0011711D" w:rsidP="00BC1EC3">
      <w:r>
        <w:separator/>
      </w:r>
    </w:p>
  </w:footnote>
  <w:footnote w:type="continuationSeparator" w:id="0">
    <w:p w:rsidR="0011711D" w:rsidRDefault="0011711D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04.09.2020 ЭҚАБЖ МО (7.23.0 нұсқасы)  Копия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AbTK374AAAAAwBAAAPAAAAAAAAAAAAAAAAAFIFAABkcnMvZG93bnJldi54bWxQSwUGAAAA&#10;AAQABADzAAAAXwYAAAAA&#10;" filled="f" stroked="f" strokeweight=".5pt">
              <v:fill o:detectmouseclick="t"/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04.09.2020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ҚАБЖ МО (7.23.0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11D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0D1C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6851-6B2C-4AA2-9F77-1928C8F3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Жазира</cp:lastModifiedBy>
  <cp:revision>2</cp:revision>
  <cp:lastPrinted>2020-03-16T13:43:00Z</cp:lastPrinted>
  <dcterms:created xsi:type="dcterms:W3CDTF">2020-09-30T07:51:00Z</dcterms:created>
  <dcterms:modified xsi:type="dcterms:W3CDTF">2020-09-30T07:51:00Z</dcterms:modified>
</cp:coreProperties>
</file>