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41" w:rsidRPr="00B23941" w:rsidRDefault="00B23941" w:rsidP="00B23941">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B23941">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4"/>
        <w:gridCol w:w="5769"/>
      </w:tblGrid>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24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br/>
            </w:r>
            <w:r w:rsidRPr="00B23941">
              <w:rPr>
                <w:rFonts w:ascii="PT Sans" w:eastAsia="Times New Roman" w:hAnsi="PT Sans" w:cs="Times New Roman"/>
                <w:color w:val="000000"/>
                <w:sz w:val="21"/>
                <w:szCs w:val="21"/>
                <w:lang w:eastAsia="ru-RU"/>
              </w:rPr>
              <w:br/>
            </w:r>
            <w:r w:rsidRPr="00B23941">
              <w:rPr>
                <w:rFonts w:ascii="PT Sans" w:eastAsia="Times New Roman" w:hAnsi="PT Sans" w:cs="Times New Roman"/>
                <w:b/>
                <w:bCs/>
                <w:color w:val="000000"/>
                <w:sz w:val="21"/>
                <w:szCs w:val="21"/>
                <w:lang w:eastAsia="ru-RU"/>
              </w:rPr>
              <w:t>Мемлекеттік қызметтің атауы</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Негізгі орта, жалпы орта білім беру ұйымдарында экстернат нысанында оқуға рұқсат беру</w:t>
            </w:r>
          </w:p>
        </w:tc>
      </w:tr>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b/>
                <w:bCs/>
                <w:color w:val="000000"/>
                <w:sz w:val="21"/>
                <w:szCs w:val="21"/>
                <w:lang w:eastAsia="ru-RU"/>
              </w:rPr>
              <w:t>Қызметті алушылар</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Жеке тұлғалар</w:t>
            </w:r>
          </w:p>
        </w:tc>
      </w:tr>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b/>
                <w:bCs/>
                <w:color w:val="000000"/>
                <w:sz w:val="21"/>
                <w:szCs w:val="21"/>
                <w:lang w:eastAsia="ru-RU"/>
              </w:rPr>
              <w:t>Мемлекеттік қызметті көрсету орны</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«Азаматтарға арналған үкімет» мемлекеттік корпорациясы» коммерциялық емес акционерлік қоғамы , «электрондық үкіметтің» веб-порталы</w:t>
            </w:r>
          </w:p>
        </w:tc>
      </w:tr>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b/>
                <w:bCs/>
                <w:color w:val="000000"/>
                <w:sz w:val="21"/>
                <w:szCs w:val="21"/>
                <w:lang w:eastAsia="ru-RU"/>
              </w:rPr>
              <w:t>Қызмет ақысы</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Тегін</w:t>
            </w:r>
          </w:p>
        </w:tc>
      </w:tr>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b/>
                <w:bCs/>
                <w:color w:val="000000"/>
                <w:sz w:val="21"/>
                <w:szCs w:val="21"/>
                <w:lang w:eastAsia="ru-RU"/>
              </w:rPr>
              <w:t>Қызметті көрсету мерзімі</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1) құжаттар топтамасын Мемлекеттік корпорацияға, сондай-ақ порталға тапсырған сәттен бастап 15 жұмыс күні.</w:t>
            </w:r>
            <w:r w:rsidRPr="00B23941">
              <w:rPr>
                <w:rFonts w:ascii="PT Sans" w:eastAsia="Times New Roman" w:hAnsi="PT Sans" w:cs="Times New Roman"/>
                <w:color w:val="000000"/>
                <w:sz w:val="21"/>
                <w:szCs w:val="21"/>
                <w:lang w:eastAsia="ru-RU"/>
              </w:rPr>
              <w:br/>
              <w:t>      Мемлекеттік корпорацияға өтініш берген кезде қабылдау күні мемлекеттік қызмет көрсету мерзіміне кірмейді.</w:t>
            </w:r>
            <w:r w:rsidRPr="00B23941">
              <w:rPr>
                <w:rFonts w:ascii="PT Sans" w:eastAsia="Times New Roman" w:hAnsi="PT Sans" w:cs="Times New Roman"/>
                <w:color w:val="000000"/>
                <w:sz w:val="21"/>
                <w:szCs w:val="21"/>
                <w:lang w:eastAsia="ru-RU"/>
              </w:rPr>
              <w:br/>
              <w:t>      2) көрсетілетін қызметті берушіге көрсетілетін қызметті алушының құжаттар топтамасын тапсыруы үшін күтудің рұқсат етілген ең ұзақ уақыты - 15 минут;</w:t>
            </w:r>
            <w:r w:rsidRPr="00B23941">
              <w:rPr>
                <w:rFonts w:ascii="PT Sans" w:eastAsia="Times New Roman" w:hAnsi="PT Sans" w:cs="Times New Roman"/>
                <w:color w:val="000000"/>
                <w:sz w:val="21"/>
                <w:szCs w:val="21"/>
                <w:lang w:eastAsia="ru-RU"/>
              </w:rPr>
              <w:br/>
              <w:t>      3) көрсетілетін қызметті берушінің көрсетілетін қызметті алушыға қызмет көрсетуінің рұқсат етілген ең ұзақ уақыты - 15 минут.</w:t>
            </w:r>
            <w:r w:rsidRPr="00B23941">
              <w:rPr>
                <w:rFonts w:ascii="PT Sans" w:eastAsia="Times New Roman" w:hAnsi="PT Sans" w:cs="Times New Roman"/>
                <w:color w:val="000000"/>
                <w:sz w:val="21"/>
                <w:szCs w:val="21"/>
                <w:lang w:eastAsia="ru-RU"/>
              </w:rPr>
              <w:br/>
              <w:t>      4) көрсетілетін қызметті алушы экстернат нысанында оқытуға өтінішті ағымдағы оқу жылының 1 желтоқсанынан кешіктірмей береді.</w:t>
            </w:r>
          </w:p>
        </w:tc>
      </w:tr>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b/>
                <w:bCs/>
                <w:color w:val="000000"/>
                <w:sz w:val="21"/>
                <w:szCs w:val="21"/>
                <w:lang w:eastAsia="ru-RU"/>
              </w:rPr>
              <w:t>Мемлекеттік қызметі алу үшін қажетті құжаттар</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r w:rsidRPr="00B23941">
              <w:rPr>
                <w:rFonts w:ascii="PT Sans" w:eastAsia="Times New Roman" w:hAnsi="PT Sans" w:cs="Times New Roman"/>
                <w:color w:val="000000"/>
                <w:sz w:val="21"/>
                <w:szCs w:val="21"/>
                <w:lang w:eastAsia="ru-RU"/>
              </w:rPr>
              <w:br/>
              <w:t>      Мемлекеттік корпорацияға:</w:t>
            </w:r>
            <w:r w:rsidRPr="00B23941">
              <w:rPr>
                <w:rFonts w:ascii="PT Sans" w:eastAsia="Times New Roman" w:hAnsi="PT Sans" w:cs="Times New Roman"/>
                <w:color w:val="000000"/>
                <w:sz w:val="21"/>
                <w:szCs w:val="21"/>
                <w:lang w:eastAsia="ru-RU"/>
              </w:rPr>
              <w:br/>
              <w:t>      1) осы мемлекеттік көрсетілетін қызмет стандартына </w:t>
            </w:r>
            <w:hyperlink r:id="rId5" w:anchor="z102" w:tgtFrame="_blank" w:history="1">
              <w:r w:rsidRPr="00B23941">
                <w:rPr>
                  <w:rFonts w:ascii="PT Sans" w:eastAsia="Times New Roman" w:hAnsi="PT Sans" w:cs="Times New Roman"/>
                  <w:color w:val="000000"/>
                  <w:sz w:val="21"/>
                  <w:szCs w:val="21"/>
                  <w:u w:val="single"/>
                  <w:lang w:eastAsia="ru-RU"/>
                </w:rPr>
                <w:t>2-қосымшаға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10" name="Рисунок 10"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9" name="Рисунок 9"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B23941">
              <w:rPr>
                <w:rFonts w:ascii="PT Sans" w:eastAsia="Times New Roman" w:hAnsi="PT Sans" w:cs="Times New Roman"/>
                <w:color w:val="000000"/>
                <w:sz w:val="21"/>
                <w:szCs w:val="21"/>
                <w:lang w:eastAsia="ru-RU"/>
              </w:rPr>
              <w:t> сәйкес нысан бойынша экстернат нысанында оқыту туралы өтініш;</w:t>
            </w:r>
            <w:r w:rsidRPr="00B23941">
              <w:rPr>
                <w:rFonts w:ascii="PT Sans" w:eastAsia="Times New Roman" w:hAnsi="PT Sans" w:cs="Times New Roman"/>
                <w:color w:val="000000"/>
                <w:sz w:val="21"/>
                <w:szCs w:val="21"/>
                <w:lang w:eastAsia="ru-RU"/>
              </w:rPr>
              <w:b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hyperlink r:id="rId8" w:anchor="z0" w:tgtFrame="_blank" w:history="1">
              <w:r w:rsidRPr="00B23941">
                <w:rPr>
                  <w:rFonts w:ascii="PT Sans" w:eastAsia="Times New Roman" w:hAnsi="PT Sans" w:cs="Times New Roman"/>
                  <w:color w:val="000000"/>
                  <w:sz w:val="21"/>
                  <w:szCs w:val="21"/>
                  <w:u w:val="single"/>
                  <w:lang w:eastAsia="ru-RU"/>
                </w:rPr>
                <w:t>бұйрығымен</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8" name="Рисунок 8"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7" name="Рисунок 7"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B23941">
              <w:rPr>
                <w:rFonts w:ascii="PT Sans" w:eastAsia="Times New Roman" w:hAnsi="PT Sans" w:cs="Times New Roman"/>
                <w:color w:val="000000"/>
                <w:sz w:val="21"/>
                <w:szCs w:val="21"/>
                <w:lang w:eastAsia="ru-RU"/>
              </w:rPr>
              <w:t>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r w:rsidRPr="00B23941">
              <w:rPr>
                <w:rFonts w:ascii="PT Sans" w:eastAsia="Times New Roman" w:hAnsi="PT Sans" w:cs="Times New Roman"/>
                <w:color w:val="000000"/>
                <w:sz w:val="21"/>
                <w:szCs w:val="21"/>
                <w:lang w:eastAsia="ru-RU"/>
              </w:rPr>
              <w:br/>
              <w:t xml:space="preserve">      3) білім алушы ата-анасымен немесе оларды алмастыратын адамдармен бірге шетелге көшкен жағдайда көрсетілетін </w:t>
            </w:r>
            <w:r w:rsidRPr="00B23941">
              <w:rPr>
                <w:rFonts w:ascii="PT Sans" w:eastAsia="Times New Roman" w:hAnsi="PT Sans" w:cs="Times New Roman"/>
                <w:color w:val="000000"/>
                <w:sz w:val="21"/>
                <w:szCs w:val="21"/>
                <w:lang w:eastAsia="ru-RU"/>
              </w:rPr>
              <w:lastRenderedPageBreak/>
              <w:t>қызметті алушының ата-анасының немесе оларды алмастыратын адамдардың уақытша шетелде тұруы туралы анықтама; </w:t>
            </w:r>
            <w:r w:rsidRPr="00B23941">
              <w:rPr>
                <w:rFonts w:ascii="PT Sans" w:eastAsia="Times New Roman" w:hAnsi="PT Sans" w:cs="Times New Roman"/>
                <w:color w:val="000000"/>
                <w:sz w:val="21"/>
                <w:szCs w:val="21"/>
                <w:lang w:eastAsia="ru-RU"/>
              </w:rPr>
              <w:b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r w:rsidRPr="00B23941">
              <w:rPr>
                <w:rFonts w:ascii="PT Sans" w:eastAsia="Times New Roman" w:hAnsi="PT Sans" w:cs="Times New Roman"/>
                <w:color w:val="000000"/>
                <w:sz w:val="21"/>
                <w:szCs w:val="21"/>
                <w:lang w:eastAsia="ru-RU"/>
              </w:rPr>
              <w:br/>
              <w:t>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r w:rsidRPr="00B23941">
              <w:rPr>
                <w:rFonts w:ascii="PT Sans" w:eastAsia="Times New Roman" w:hAnsi="PT Sans" w:cs="Times New Roman"/>
                <w:color w:val="000000"/>
                <w:sz w:val="21"/>
                <w:szCs w:val="21"/>
                <w:lang w:eastAsia="ru-RU"/>
              </w:rPr>
              <w:br/>
              <w:t>      Порталға:</w:t>
            </w:r>
            <w:r w:rsidRPr="00B23941">
              <w:rPr>
                <w:rFonts w:ascii="PT Sans" w:eastAsia="Times New Roman" w:hAnsi="PT Sans" w:cs="Times New Roman"/>
                <w:color w:val="000000"/>
                <w:sz w:val="21"/>
                <w:szCs w:val="21"/>
                <w:lang w:eastAsia="ru-RU"/>
              </w:rPr>
              <w:br/>
              <w:t>      1) мемлекеттік көрсетілетін қызметті алушының ЭЦҚ-сы қойылған электрондық сұрату нысанындағы өтініші; </w:t>
            </w:r>
            <w:r w:rsidRPr="00B23941">
              <w:rPr>
                <w:rFonts w:ascii="PT Sans" w:eastAsia="Times New Roman" w:hAnsi="PT Sans" w:cs="Times New Roman"/>
                <w:color w:val="000000"/>
                <w:sz w:val="21"/>
                <w:szCs w:val="21"/>
                <w:lang w:eastAsia="ru-RU"/>
              </w:rPr>
              <w:b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hyperlink r:id="rId10" w:anchor="z0" w:tgtFrame="_blank" w:history="1">
              <w:r w:rsidRPr="00B23941">
                <w:rPr>
                  <w:rFonts w:ascii="PT Sans" w:eastAsia="Times New Roman" w:hAnsi="PT Sans" w:cs="Times New Roman"/>
                  <w:color w:val="000000"/>
                  <w:sz w:val="21"/>
                  <w:szCs w:val="21"/>
                  <w:u w:val="single"/>
                  <w:lang w:eastAsia="ru-RU"/>
                </w:rPr>
                <w:t>бұйрығымен</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6" name="Рисунок 6"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5" name="Рисунок 5"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B23941">
              <w:rPr>
                <w:rFonts w:ascii="PT Sans" w:eastAsia="Times New Roman" w:hAnsi="PT Sans" w:cs="Times New Roman"/>
                <w:color w:val="000000"/>
                <w:sz w:val="21"/>
                <w:szCs w:val="21"/>
                <w:lang w:eastAsia="ru-RU"/>
              </w:rPr>
              <w:t>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r w:rsidRPr="00B23941">
              <w:rPr>
                <w:rFonts w:ascii="PT Sans" w:eastAsia="Times New Roman" w:hAnsi="PT Sans" w:cs="Times New Roman"/>
                <w:color w:val="000000"/>
                <w:sz w:val="21"/>
                <w:szCs w:val="21"/>
                <w:lang w:eastAsia="ru-RU"/>
              </w:rPr>
              <w:br/>
              <w:t>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r w:rsidRPr="00B23941">
              <w:rPr>
                <w:rFonts w:ascii="PT Sans" w:eastAsia="Times New Roman" w:hAnsi="PT Sans" w:cs="Times New Roman"/>
                <w:color w:val="000000"/>
                <w:sz w:val="21"/>
                <w:szCs w:val="21"/>
                <w:lang w:eastAsia="ru-RU"/>
              </w:rPr>
              <w:b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r w:rsidRPr="00B23941">
              <w:rPr>
                <w:rFonts w:ascii="PT Sans" w:eastAsia="Times New Roman" w:hAnsi="PT Sans" w:cs="Times New Roman"/>
                <w:color w:val="000000"/>
                <w:sz w:val="21"/>
                <w:szCs w:val="21"/>
                <w:lang w:eastAsia="ru-RU"/>
              </w:rPr>
              <w:br/>
              <w:t>      5) көрсетілетін қызметті алушының туу туралы куәлігінің (2008 жылға дейін туылған жағдайда) электронды көшірмесі; </w:t>
            </w:r>
            <w:r w:rsidRPr="00B23941">
              <w:rPr>
                <w:rFonts w:ascii="PT Sans" w:eastAsia="Times New Roman" w:hAnsi="PT Sans" w:cs="Times New Roman"/>
                <w:color w:val="000000"/>
                <w:sz w:val="21"/>
                <w:szCs w:val="21"/>
                <w:lang w:eastAsia="ru-RU"/>
              </w:rPr>
              <w:br/>
              <w:t xml:space="preserve">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w:t>
            </w:r>
            <w:r w:rsidRPr="00B23941">
              <w:rPr>
                <w:rFonts w:ascii="PT Sans" w:eastAsia="Times New Roman" w:hAnsi="PT Sans" w:cs="Times New Roman"/>
                <w:color w:val="000000"/>
                <w:sz w:val="21"/>
                <w:szCs w:val="21"/>
                <w:lang w:eastAsia="ru-RU"/>
              </w:rPr>
              <w:lastRenderedPageBreak/>
              <w:t>шлюзі арқылы алады.</w:t>
            </w:r>
            <w:r w:rsidRPr="00B23941">
              <w:rPr>
                <w:rFonts w:ascii="PT Sans" w:eastAsia="Times New Roman" w:hAnsi="PT Sans" w:cs="Times New Roman"/>
                <w:color w:val="000000"/>
                <w:sz w:val="21"/>
                <w:szCs w:val="21"/>
                <w:lang w:eastAsia="ru-RU"/>
              </w:rPr>
              <w:b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r w:rsidRPr="00B23941">
              <w:rPr>
                <w:rFonts w:ascii="PT Sans" w:eastAsia="Times New Roman" w:hAnsi="PT Sans" w:cs="Times New Roman"/>
                <w:color w:val="000000"/>
                <w:sz w:val="21"/>
                <w:szCs w:val="21"/>
                <w:lang w:eastAsia="ru-RU"/>
              </w:rPr>
              <w:b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B23941">
              <w:rPr>
                <w:rFonts w:ascii="PT Sans" w:eastAsia="Times New Roman" w:hAnsi="PT Sans" w:cs="Times New Roman"/>
                <w:color w:val="000000"/>
                <w:sz w:val="21"/>
                <w:szCs w:val="21"/>
                <w:lang w:eastAsia="ru-RU"/>
              </w:rPr>
              <w:b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r w:rsidRPr="00B23941">
              <w:rPr>
                <w:rFonts w:ascii="PT Sans" w:eastAsia="Times New Roman" w:hAnsi="PT Sans" w:cs="Times New Roman"/>
                <w:color w:val="000000"/>
                <w:sz w:val="21"/>
                <w:szCs w:val="21"/>
                <w:lang w:eastAsia="ru-RU"/>
              </w:rPr>
              <w:br/>
            </w:r>
            <w:bookmarkStart w:id="0" w:name="z91"/>
            <w:bookmarkEnd w:id="0"/>
            <w:r w:rsidRPr="00B23941">
              <w:rPr>
                <w:rFonts w:ascii="PT Sans" w:eastAsia="Times New Roman" w:hAnsi="PT Sans" w:cs="Times New Roman"/>
                <w:color w:val="000000"/>
                <w:sz w:val="21"/>
                <w:szCs w:val="21"/>
                <w:lang w:eastAsia="ru-RU"/>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11" w:anchor="z103" w:tgtFrame="_blank" w:history="1">
              <w:r w:rsidRPr="00B23941">
                <w:rPr>
                  <w:rFonts w:ascii="PT Sans" w:eastAsia="Times New Roman" w:hAnsi="PT Sans" w:cs="Times New Roman"/>
                  <w:color w:val="000000"/>
                  <w:sz w:val="21"/>
                  <w:szCs w:val="21"/>
                  <w:u w:val="single"/>
                  <w:lang w:eastAsia="ru-RU"/>
                </w:rPr>
                <w:t>3-қосымшаға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4" name="Рисунок 4" descr="https://karaganda-akimat.gov.kz/media/ico_files/site.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aganda-akimat.gov.kz/media/ico_files/site.png">
                              <a:hlinkClick r:id="rId12"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3" name="Рисунок 3"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B23941">
              <w:rPr>
                <w:rFonts w:ascii="PT Sans" w:eastAsia="Times New Roman" w:hAnsi="PT Sans" w:cs="Times New Roman"/>
                <w:color w:val="000000"/>
                <w:sz w:val="21"/>
                <w:szCs w:val="21"/>
                <w:lang w:eastAsia="ru-RU"/>
              </w:rPr>
              <w:t> сәйкес нысан бойынша құжаттарды қабылдаудан бас тарту туралы қолхат береді.</w:t>
            </w:r>
          </w:p>
        </w:tc>
      </w:tr>
      <w:tr w:rsidR="00B23941" w:rsidRPr="00B23941" w:rsidTr="00B23941">
        <w:tc>
          <w:tcPr>
            <w:tcW w:w="190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b/>
                <w:bCs/>
                <w:color w:val="000000"/>
                <w:sz w:val="21"/>
                <w:szCs w:val="21"/>
                <w:lang w:eastAsia="ru-RU"/>
              </w:rPr>
              <w:lastRenderedPageBreak/>
              <w:t>Қызметті көрсету нәтижесі</w:t>
            </w:r>
          </w:p>
        </w:tc>
        <w:tc>
          <w:tcPr>
            <w:tcW w:w="3050" w:type="pct"/>
            <w:tcBorders>
              <w:top w:val="nil"/>
              <w:left w:val="nil"/>
              <w:bottom w:val="single" w:sz="6" w:space="0" w:color="DADEE0"/>
              <w:right w:val="single" w:sz="6" w:space="0" w:color="DADEE0"/>
            </w:tcBorders>
            <w:shd w:val="clear" w:color="auto" w:fill="FFFFFF"/>
            <w:hideMark/>
          </w:tcPr>
          <w:p w:rsidR="00B23941" w:rsidRPr="00B23941" w:rsidRDefault="00B23941" w:rsidP="00B23941">
            <w:pPr>
              <w:spacing w:after="0" w:line="360" w:lineRule="auto"/>
              <w:rPr>
                <w:rFonts w:ascii="PT Sans" w:eastAsia="Times New Roman" w:hAnsi="PT Sans" w:cs="Times New Roman"/>
                <w:color w:val="000000"/>
                <w:sz w:val="21"/>
                <w:szCs w:val="21"/>
                <w:lang w:eastAsia="ru-RU"/>
              </w:rPr>
            </w:pPr>
            <w:r w:rsidRPr="00B23941">
              <w:rPr>
                <w:rFonts w:ascii="PT Sans" w:eastAsia="Times New Roman" w:hAnsi="PT Sans" w:cs="Times New Roman"/>
                <w:color w:val="000000"/>
                <w:sz w:val="21"/>
                <w:szCs w:val="21"/>
                <w:lang w:eastAsia="ru-RU"/>
              </w:rPr>
              <w:t>Мемлекеттік қызмет көрсетудің нәтижесі осы мемлекеттік көрсетілетін қызмет стандартына </w:t>
            </w:r>
            <w:hyperlink r:id="rId13" w:anchor="z101" w:tgtFrame="_blank" w:history="1">
              <w:r w:rsidRPr="00B23941">
                <w:rPr>
                  <w:rFonts w:ascii="PT Sans" w:eastAsia="Times New Roman" w:hAnsi="PT Sans" w:cs="Times New Roman"/>
                  <w:color w:val="000000"/>
                  <w:sz w:val="21"/>
                  <w:szCs w:val="21"/>
                  <w:u w:val="single"/>
                  <w:lang w:eastAsia="ru-RU"/>
                </w:rPr>
                <w:t>1-қосымшаға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2" name="Рисунок 2" descr="https://karaganda-akimat.gov.kz/media/ico_files/site.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araganda-akimat.gov.kz/media/ico_files/site.png">
                              <a:hlinkClick r:id="rId14"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1" name="Рисунок 1" descr="https://karaganda-akimat.gov.kz/media/ico_files/site.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raganda-akimat.gov.kz/media/ico_files/site.png">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B23941">
              <w:rPr>
                <w:rFonts w:ascii="PT Sans" w:eastAsia="Times New Roman" w:hAnsi="PT Sans" w:cs="Times New Roman"/>
                <w:color w:val="000000"/>
                <w:sz w:val="21"/>
                <w:szCs w:val="21"/>
                <w:lang w:eastAsia="ru-RU"/>
              </w:rPr>
              <w:t>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tc>
      </w:tr>
    </w:tbl>
    <w:p w:rsidR="001C4D84" w:rsidRDefault="00B23941">
      <w:bookmarkStart w:id="1" w:name="_GoBack"/>
      <w:bookmarkEnd w:id="1"/>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D7"/>
    <w:rsid w:val="000A6A51"/>
    <w:rsid w:val="008707F7"/>
    <w:rsid w:val="008B1DC7"/>
    <w:rsid w:val="00B23941"/>
    <w:rsid w:val="00C821D7"/>
    <w:rsid w:val="00DC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941"/>
    <w:rPr>
      <w:color w:val="000000"/>
      <w:u w:val="single"/>
    </w:rPr>
  </w:style>
  <w:style w:type="character" w:styleId="a4">
    <w:name w:val="Strong"/>
    <w:basedOn w:val="a0"/>
    <w:uiPriority w:val="22"/>
    <w:qFormat/>
    <w:rsid w:val="00B23941"/>
    <w:rPr>
      <w:b/>
      <w:bCs/>
    </w:rPr>
  </w:style>
  <w:style w:type="paragraph" w:styleId="a5">
    <w:name w:val="Balloon Text"/>
    <w:basedOn w:val="a"/>
    <w:link w:val="a6"/>
    <w:uiPriority w:val="99"/>
    <w:semiHidden/>
    <w:unhideWhenUsed/>
    <w:rsid w:val="00B23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941"/>
    <w:rPr>
      <w:color w:val="000000"/>
      <w:u w:val="single"/>
    </w:rPr>
  </w:style>
  <w:style w:type="character" w:styleId="a4">
    <w:name w:val="Strong"/>
    <w:basedOn w:val="a0"/>
    <w:uiPriority w:val="22"/>
    <w:qFormat/>
    <w:rsid w:val="00B23941"/>
    <w:rPr>
      <w:b/>
      <w:bCs/>
    </w:rPr>
  </w:style>
  <w:style w:type="paragraph" w:styleId="a5">
    <w:name w:val="Balloon Text"/>
    <w:basedOn w:val="a"/>
    <w:link w:val="a6"/>
    <w:uiPriority w:val="99"/>
    <w:semiHidden/>
    <w:unhideWhenUsed/>
    <w:rsid w:val="00B23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56848">
      <w:bodyDiv w:val="1"/>
      <w:marLeft w:val="0"/>
      <w:marRight w:val="0"/>
      <w:marTop w:val="0"/>
      <w:marBottom w:val="0"/>
      <w:divBdr>
        <w:top w:val="none" w:sz="0" w:space="0" w:color="auto"/>
        <w:left w:val="none" w:sz="0" w:space="0" w:color="auto"/>
        <w:bottom w:val="none" w:sz="0" w:space="0" w:color="auto"/>
        <w:right w:val="none" w:sz="0" w:space="0" w:color="auto"/>
      </w:divBdr>
      <w:divsChild>
        <w:div w:id="1036656448">
          <w:marLeft w:val="0"/>
          <w:marRight w:val="0"/>
          <w:marTop w:val="0"/>
          <w:marBottom w:val="0"/>
          <w:divBdr>
            <w:top w:val="none" w:sz="0" w:space="0" w:color="auto"/>
            <w:left w:val="none" w:sz="0" w:space="0" w:color="auto"/>
            <w:bottom w:val="none" w:sz="0" w:space="0" w:color="auto"/>
            <w:right w:val="none" w:sz="0" w:space="0" w:color="auto"/>
          </w:divBdr>
          <w:divsChild>
            <w:div w:id="1830710231">
              <w:marLeft w:val="0"/>
              <w:marRight w:val="0"/>
              <w:marTop w:val="0"/>
              <w:marBottom w:val="0"/>
              <w:divBdr>
                <w:top w:val="none" w:sz="0" w:space="0" w:color="auto"/>
                <w:left w:val="none" w:sz="0" w:space="0" w:color="auto"/>
                <w:bottom w:val="none" w:sz="0" w:space="0" w:color="auto"/>
                <w:right w:val="none" w:sz="0" w:space="0" w:color="auto"/>
              </w:divBdr>
              <w:divsChild>
                <w:div w:id="238290223">
                  <w:marLeft w:val="0"/>
                  <w:marRight w:val="0"/>
                  <w:marTop w:val="0"/>
                  <w:marBottom w:val="0"/>
                  <w:divBdr>
                    <w:top w:val="none" w:sz="0" w:space="0" w:color="auto"/>
                    <w:left w:val="none" w:sz="0" w:space="0" w:color="auto"/>
                    <w:bottom w:val="none" w:sz="0" w:space="0" w:color="auto"/>
                    <w:right w:val="none" w:sz="0" w:space="0" w:color="auto"/>
                  </w:divBdr>
                  <w:divsChild>
                    <w:div w:id="1953586833">
                      <w:marLeft w:val="285"/>
                      <w:marRight w:val="0"/>
                      <w:marTop w:val="0"/>
                      <w:marBottom w:val="0"/>
                      <w:divBdr>
                        <w:top w:val="none" w:sz="0" w:space="0" w:color="auto"/>
                        <w:left w:val="none" w:sz="0" w:space="0" w:color="auto"/>
                        <w:bottom w:val="none" w:sz="0" w:space="0" w:color="auto"/>
                        <w:right w:val="none" w:sz="0" w:space="0" w:color="auto"/>
                      </w:divBdr>
                      <w:divsChild>
                        <w:div w:id="16582252">
                          <w:marLeft w:val="0"/>
                          <w:marRight w:val="0"/>
                          <w:marTop w:val="0"/>
                          <w:marBottom w:val="0"/>
                          <w:divBdr>
                            <w:top w:val="none" w:sz="0" w:space="0" w:color="auto"/>
                            <w:left w:val="none" w:sz="0" w:space="0" w:color="auto"/>
                            <w:bottom w:val="none" w:sz="0" w:space="0" w:color="auto"/>
                            <w:right w:val="none" w:sz="0" w:space="0" w:color="auto"/>
                          </w:divBdr>
                          <w:divsChild>
                            <w:div w:id="362632141">
                              <w:marLeft w:val="0"/>
                              <w:marRight w:val="0"/>
                              <w:marTop w:val="0"/>
                              <w:marBottom w:val="0"/>
                              <w:divBdr>
                                <w:top w:val="none" w:sz="0" w:space="0" w:color="auto"/>
                                <w:left w:val="none" w:sz="0" w:space="0" w:color="auto"/>
                                <w:bottom w:val="none" w:sz="0" w:space="0" w:color="auto"/>
                                <w:right w:val="none" w:sz="0" w:space="0" w:color="auto"/>
                              </w:divBdr>
                              <w:divsChild>
                                <w:div w:id="915090199">
                                  <w:marLeft w:val="0"/>
                                  <w:marRight w:val="0"/>
                                  <w:marTop w:val="0"/>
                                  <w:marBottom w:val="0"/>
                                  <w:divBdr>
                                    <w:top w:val="none" w:sz="0" w:space="0" w:color="auto"/>
                                    <w:left w:val="none" w:sz="0" w:space="0" w:color="auto"/>
                                    <w:bottom w:val="none" w:sz="0" w:space="0" w:color="auto"/>
                                    <w:right w:val="none" w:sz="0" w:space="0" w:color="auto"/>
                                  </w:divBdr>
                                  <w:divsChild>
                                    <w:div w:id="971208890">
                                      <w:marLeft w:val="0"/>
                                      <w:marRight w:val="0"/>
                                      <w:marTop w:val="0"/>
                                      <w:marBottom w:val="15"/>
                                      <w:divBdr>
                                        <w:top w:val="none" w:sz="0" w:space="0" w:color="auto"/>
                                        <w:left w:val="none" w:sz="0" w:space="0" w:color="auto"/>
                                        <w:bottom w:val="none" w:sz="0" w:space="0" w:color="auto"/>
                                        <w:right w:val="none" w:sz="0" w:space="0" w:color="auto"/>
                                      </w:divBdr>
                                      <w:divsChild>
                                        <w:div w:id="360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13" Type="http://schemas.openxmlformats.org/officeDocument/2006/relationships/hyperlink" Target="http://adilet.zan.kz/kaz/docs/V150001105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ilet.zan.kz/kaz/docs/V1500011057#z10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500011057#z102" TargetMode="External"/><Relationship Id="rId11" Type="http://schemas.openxmlformats.org/officeDocument/2006/relationships/hyperlink" Target="http://adilet.zan.kz/kaz/docs/V1500011057" TargetMode="External"/><Relationship Id="rId5" Type="http://schemas.openxmlformats.org/officeDocument/2006/relationships/hyperlink" Target="http://adilet.zan.kz/kaz/docs/V1500011057" TargetMode="External"/><Relationship Id="rId15" Type="http://schemas.openxmlformats.org/officeDocument/2006/relationships/fontTable" Target="fontTable.xml"/><Relationship Id="rId10" Type="http://schemas.openxmlformats.org/officeDocument/2006/relationships/hyperlink" Target="http://adilet.zan.kz/kaz/docs/V1000006697" TargetMode="External"/><Relationship Id="rId4" Type="http://schemas.openxmlformats.org/officeDocument/2006/relationships/webSettings" Target="webSettings.xml"/><Relationship Id="rId9" Type="http://schemas.openxmlformats.org/officeDocument/2006/relationships/hyperlink" Target="http://adilet.zan.kz/kaz/docs/V1000006697#z0" TargetMode="External"/><Relationship Id="rId14" Type="http://schemas.openxmlformats.org/officeDocument/2006/relationships/hyperlink" Target="http://adilet.zan.kz/kaz/docs/V1500011057#z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2017-10-04T04:39:00Z</dcterms:created>
  <dcterms:modified xsi:type="dcterms:W3CDTF">2017-10-04T04:39:00Z</dcterms:modified>
</cp:coreProperties>
</file>