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8D" w:rsidRDefault="0060478D" w:rsidP="0060478D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hAnsi="PT Sans"/>
          <w:color w:val="000000"/>
        </w:rPr>
      </w:pPr>
      <w:proofErr w:type="spellStart"/>
      <w:r>
        <w:rPr>
          <w:rStyle w:val="a4"/>
          <w:rFonts w:ascii="PT Sans" w:hAnsi="PT Sans"/>
          <w:color w:val="000000"/>
        </w:rPr>
        <w:t>Мемлекеттік</w:t>
      </w:r>
      <w:proofErr w:type="spellEnd"/>
      <w:r>
        <w:rPr>
          <w:rStyle w:val="a4"/>
          <w:rFonts w:ascii="PT Sans" w:hAnsi="PT Sans"/>
          <w:color w:val="000000"/>
        </w:rPr>
        <w:t xml:space="preserve"> </w:t>
      </w:r>
      <w:proofErr w:type="spellStart"/>
      <w:r>
        <w:rPr>
          <w:rStyle w:val="a4"/>
          <w:rFonts w:ascii="PT Sans" w:hAnsi="PT Sans"/>
          <w:color w:val="000000"/>
        </w:rPr>
        <w:t>қызмет</w:t>
      </w:r>
      <w:proofErr w:type="spellEnd"/>
      <w:r>
        <w:rPr>
          <w:rStyle w:val="a4"/>
          <w:rFonts w:ascii="PT Sans" w:hAnsi="PT Sans"/>
          <w:color w:val="000000"/>
        </w:rPr>
        <w:t xml:space="preserve"> </w:t>
      </w:r>
      <w:proofErr w:type="spellStart"/>
      <w:r>
        <w:rPr>
          <w:rStyle w:val="a4"/>
          <w:rFonts w:ascii="PT Sans" w:hAnsi="PT Sans"/>
          <w:color w:val="000000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қызметтің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Қорғаншылық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және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қамқоршылық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жөнінде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анықтама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беру</w:t>
            </w:r>
          </w:p>
        </w:tc>
      </w:tr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Жеке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тұлғалар</w:t>
            </w:r>
            <w:proofErr w:type="spellEnd"/>
          </w:p>
        </w:tc>
      </w:tr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көрсету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корпораци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я(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ХҚО), «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үкіметтің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» веб-порталы</w:t>
            </w:r>
          </w:p>
        </w:tc>
      </w:tr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</w:t>
            </w:r>
            <w:proofErr w:type="gram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ызмет</w:t>
            </w:r>
            <w:proofErr w:type="spellEnd"/>
            <w:proofErr w:type="gram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ақысы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Тегі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н</w:t>
            </w:r>
            <w:proofErr w:type="spellEnd"/>
            <w:proofErr w:type="gramEnd"/>
          </w:p>
        </w:tc>
      </w:tr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көрсету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мерзі</w:t>
            </w:r>
            <w:proofErr w:type="gram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1)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тапсырған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сәттен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бастап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сондай-ақ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портал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арқылы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өтініш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берген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кезде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– 5 минут;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Жетім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балаға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жетім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балаларға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және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ата-анасының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қамқорлығынсыз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қалған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балаға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балаларға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қамқоршылық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қорғаншылық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белгілеу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жөніндегі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деректер</w:t>
            </w:r>
            <w:proofErr w:type="spellEnd"/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ақпараттық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жүйесінде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болмаған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жағдайда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мерзімі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– 3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жұмыс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күні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күні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мерзіміне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кірмейді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).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0" w:name="z34"/>
            <w:bookmarkEnd w:id="0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2)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тапсыруы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үшін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күтудің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ұқсат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ең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ұзақ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уақыты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– 15 минут;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1" w:name="z35"/>
            <w:bookmarkEnd w:id="1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3)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көрсетудің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рұқсат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ең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ұзақ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уақыты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– 15 минут.</w:t>
            </w:r>
          </w:p>
        </w:tc>
      </w:tr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қызметі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үшін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қажетті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: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2" w:name="z43"/>
            <w:bookmarkEnd w:id="2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1) осы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стандартына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hyperlink r:id="rId5" w:anchor="z61" w:tgtFrame="_blank" w:history="1">
              <w:r>
                <w:rPr>
                  <w:rStyle w:val="a3"/>
                  <w:rFonts w:ascii="PT Sans" w:hAnsi="PT Sans"/>
                  <w:sz w:val="21"/>
                  <w:szCs w:val="21"/>
                </w:rPr>
                <w:t>2-қосымшаға</w:t>
              </w:r>
              <w:r>
                <w:rPr>
                  <w:rFonts w:ascii="PT Sans" w:hAnsi="PT Sans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060" cy="99060"/>
                    <wp:effectExtent l="0" t="0" r="0" b="0"/>
                    <wp:docPr id="12" name="Рисунок 12" descr="https://karaganda-akimat.gov.kz/media/ico_files/site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karaganda-akimat.gov.kz/media/ico_files/site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hAnsi="PT Sans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060" cy="99060"/>
                    <wp:effectExtent l="0" t="0" r="0" b="0"/>
                    <wp:docPr id="11" name="Рисунок 11" descr="https://karaganda-akimat.gov.kz/media/ico_files/site.p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karaganda-akimat.gov.kz/media/ico_files/site.p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өтініш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;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3" w:name="z44"/>
            <w:bookmarkEnd w:id="3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2)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кәуландыратын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сәйкестендіру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үшін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талап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етіледі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);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4" w:name="z45"/>
            <w:bookmarkEnd w:id="4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3) бала 2007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жылғы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13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тамызға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дейін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не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Республикасынан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тыс</w:t>
            </w:r>
            <w:proofErr w:type="spellEnd"/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жерде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туылған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жағдайда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баланың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куәлігі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сәйкестендіру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үшін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талап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етіледі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).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порталда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: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5" w:name="z46"/>
            <w:bookmarkEnd w:id="5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1)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ЭЦҚ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қойылған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нысанындағы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сұраныс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;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Порталда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сұранысты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кабинетінде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жүзеге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асырылады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баланың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куәлігінің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мәліметтерін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(бала 2007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жылғы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13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тамыздан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кейін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туылған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жағдайда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қызметкері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және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беруші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үкімет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шлюзі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арқылы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тиі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ст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ақпараттық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жүйеден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алады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Егер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заңдарында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өзгеше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көзделмесе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көрсетілген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қызметкеріне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кезінде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заңмен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қорғалатын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құпияны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қамтитын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ақпараттық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жүйедегі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мәліметтерді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пайдалану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келісімін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6" w:name="z47"/>
            <w:bookmarkEnd w:id="6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арқылы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кезінде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тиі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ст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қабылданғаны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қолхат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: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дадайын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беру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куәлігін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(не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нотариалды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расталған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сенімхат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оның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өкілі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ұсыну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кезінде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қолхат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негізінде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жүзеге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асырылады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  <w:t xml:space="preserve">     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бі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ай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ішінде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нәтижені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сақтауды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етеді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содан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кейін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оларды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берушіге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одан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әрі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үшін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тапсырады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бі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ай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өткеннен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кейін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жүгінген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жағдайда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сұранысы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беруші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бір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жұмыс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күні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ішінде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дайын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алушыға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беру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үшін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жібереді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br/>
            </w:r>
            <w:bookmarkStart w:id="7" w:name="z48"/>
            <w:bookmarkEnd w:id="7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     10.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алушы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осы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стандартының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 9-тармағына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топтамасын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толық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ұсынбаған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жағдайда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корпорациясының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қызметкері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өтінішті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қабылдаудан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бас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тартады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және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осы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стандартына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hyperlink r:id="rId8" w:anchor="z63" w:tgtFrame="_blank" w:history="1">
              <w:r>
                <w:rPr>
                  <w:rStyle w:val="a3"/>
                  <w:rFonts w:ascii="PT Sans" w:hAnsi="PT Sans"/>
                  <w:sz w:val="21"/>
                  <w:szCs w:val="21"/>
                </w:rPr>
                <w:t>3-қосымшаға</w:t>
              </w:r>
              <w:r>
                <w:rPr>
                  <w:rFonts w:ascii="PT Sans" w:hAnsi="PT Sans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060" cy="99060"/>
                    <wp:effectExtent l="0" t="0" r="0" b="0"/>
                    <wp:docPr id="10" name="Рисунок 10" descr="https://karaganda-akimat.gov.kz/media/ico_files/site.pn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karaganda-akimat.gov.kz/media/ico_files/site.pn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hAnsi="PT Sans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99060" cy="99060"/>
                    <wp:effectExtent l="0" t="0" r="0" b="0"/>
                    <wp:docPr id="9" name="Рисунок 9" descr="https://karaganda-akimat.gov.kz/media/ico_files/site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karaganda-akimat.gov.kz/media/ico_files/site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қабылдаудан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бас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тарту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қолхат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береді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</w:p>
        </w:tc>
      </w:tr>
      <w:tr w:rsidR="0060478D" w:rsidTr="0060478D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lastRenderedPageBreak/>
              <w:t>Қызметті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көрсету</w:t>
            </w:r>
            <w:proofErr w:type="spellEnd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PT Sans" w:hAnsi="PT Sans"/>
                <w:color w:val="000000"/>
                <w:sz w:val="21"/>
                <w:szCs w:val="21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60478D" w:rsidRDefault="0060478D">
            <w:pPr>
              <w:spacing w:line="36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осы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</w:rPr>
              <w:t>өрсетілетін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қызмет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стандартына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hyperlink r:id="rId10" w:anchor="z58" w:tgtFrame="_blank" w:history="1">
              <w:r>
                <w:rPr>
                  <w:rStyle w:val="a3"/>
                  <w:rFonts w:ascii="PT Sans" w:hAnsi="PT Sans"/>
                  <w:sz w:val="21"/>
                  <w:szCs w:val="21"/>
                </w:rPr>
                <w:t>1-қосымшаға</w:t>
              </w:r>
              <w:r>
                <w:rPr>
                  <w:rFonts w:ascii="PT Sans" w:hAnsi="PT Sans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 wp14:anchorId="4C393DD9" wp14:editId="4B068187">
                    <wp:extent cx="99060" cy="99060"/>
                    <wp:effectExtent l="0" t="0" r="0" b="0"/>
                    <wp:docPr id="8" name="Рисунок 8" descr="https://karaganda-akimat.gov.kz/media/ico_files/site.p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karaganda-akimat.gov.kz/media/ico_files/site.p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hAnsi="PT Sans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 wp14:anchorId="53A3EDC3" wp14:editId="52E523E3">
                    <wp:extent cx="99060" cy="99060"/>
                    <wp:effectExtent l="0" t="0" r="0" b="0"/>
                    <wp:docPr id="7" name="Рисунок 7" descr="https://karaganda-akimat.gov.kz/media/ico_files/site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karaganda-akimat.gov.kz/media/ico_files/site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қамқоршылық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және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қорғаншылық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белгілеу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</w:rPr>
              <w:t>анықтама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</w:p>
        </w:tc>
      </w:tr>
    </w:tbl>
    <w:p w:rsidR="001C4D84" w:rsidRPr="0060478D" w:rsidRDefault="0060478D" w:rsidP="0060478D">
      <w:bookmarkStart w:id="8" w:name="_GoBack"/>
      <w:bookmarkEnd w:id="8"/>
    </w:p>
    <w:sectPr w:rsidR="001C4D84" w:rsidRPr="0060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3F"/>
    <w:rsid w:val="000A6A51"/>
    <w:rsid w:val="00425139"/>
    <w:rsid w:val="0060478D"/>
    <w:rsid w:val="008707F7"/>
    <w:rsid w:val="008B1DC7"/>
    <w:rsid w:val="00DC50A5"/>
    <w:rsid w:val="00E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139"/>
    <w:rPr>
      <w:color w:val="000000"/>
      <w:u w:val="single"/>
    </w:rPr>
  </w:style>
  <w:style w:type="character" w:styleId="a4">
    <w:name w:val="Strong"/>
    <w:basedOn w:val="a0"/>
    <w:uiPriority w:val="22"/>
    <w:qFormat/>
    <w:rsid w:val="004251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139"/>
    <w:rPr>
      <w:color w:val="000000"/>
      <w:u w:val="single"/>
    </w:rPr>
  </w:style>
  <w:style w:type="character" w:styleId="a4">
    <w:name w:val="Strong"/>
    <w:basedOn w:val="a0"/>
    <w:uiPriority w:val="22"/>
    <w:qFormat/>
    <w:rsid w:val="004251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2103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841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106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738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#z61" TargetMode="External"/><Relationship Id="rId11" Type="http://schemas.openxmlformats.org/officeDocument/2006/relationships/hyperlink" Target="http://adilet.zan.kz/kaz/docs/V1500011184#z58" TargetMode="Externa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hyperlink" Target="http://adilet.zan.kz/kaz/docs/V150001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184#z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2017-10-04T04:03:00Z</dcterms:created>
  <dcterms:modified xsi:type="dcterms:W3CDTF">2017-10-04T04:07:00Z</dcterms:modified>
</cp:coreProperties>
</file>