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A9" w:rsidRDefault="00D671A9" w:rsidP="00D8304F">
      <w:pPr>
        <w:pStyle w:val="ab"/>
        <w:shd w:val="clear" w:color="auto" w:fill="FFFFFF"/>
        <w:spacing w:before="0" w:beforeAutospacing="0" w:after="0" w:afterAutospacing="0"/>
        <w:ind w:firstLine="357"/>
        <w:jc w:val="center"/>
        <w:textAlignment w:val="baseline"/>
        <w:rPr>
          <w:b/>
          <w:color w:val="000000"/>
        </w:rPr>
      </w:pPr>
      <w:r w:rsidRPr="00D671A9">
        <w:rPr>
          <w:b/>
          <w:color w:val="000000"/>
        </w:rPr>
        <w:t>Среднесрочное планирование серии последовательных уроков</w:t>
      </w:r>
    </w:p>
    <w:p w:rsidR="00D671A9" w:rsidRPr="00D671A9" w:rsidRDefault="00D671A9" w:rsidP="00D8304F">
      <w:pPr>
        <w:pStyle w:val="ab"/>
        <w:shd w:val="clear" w:color="auto" w:fill="FFFFFF"/>
        <w:spacing w:before="0" w:beforeAutospacing="0" w:after="0" w:afterAutospacing="0"/>
        <w:ind w:firstLine="357"/>
        <w:jc w:val="both"/>
        <w:textAlignment w:val="baseline"/>
        <w:rPr>
          <w:b/>
          <w:color w:val="000000"/>
        </w:rPr>
      </w:pPr>
    </w:p>
    <w:p w:rsidR="00D671A9" w:rsidRPr="00D671A9" w:rsidRDefault="00D671A9" w:rsidP="00D8304F">
      <w:pPr>
        <w:pStyle w:val="ab"/>
        <w:shd w:val="clear" w:color="auto" w:fill="FFFFFF"/>
        <w:spacing w:before="0" w:beforeAutospacing="0" w:after="0" w:afterAutospacing="0"/>
        <w:ind w:firstLine="357"/>
        <w:jc w:val="both"/>
        <w:textAlignment w:val="baseline"/>
        <w:rPr>
          <w:color w:val="000000"/>
        </w:rPr>
      </w:pPr>
      <w:r w:rsidRPr="00D671A9">
        <w:rPr>
          <w:color w:val="000000"/>
        </w:rPr>
        <w:t>Ключевой идеей Программы</w:t>
      </w:r>
      <w:r w:rsidR="0041679C">
        <w:rPr>
          <w:color w:val="000000"/>
        </w:rPr>
        <w:t xml:space="preserve"> повышения квалификации педагогических работников Республики Казахстан, разработанной Центром педагогического мастерства совместно с </w:t>
      </w:r>
      <w:r w:rsidR="0041679C" w:rsidRPr="00952593">
        <w:t>Факультетом образования Кембриджского университета</w:t>
      </w:r>
      <w:r w:rsidR="0041679C" w:rsidRPr="00D671A9">
        <w:rPr>
          <w:color w:val="000000"/>
        </w:rPr>
        <w:t xml:space="preserve"> </w:t>
      </w:r>
      <w:r w:rsidRPr="00D671A9">
        <w:rPr>
          <w:color w:val="000000"/>
        </w:rPr>
        <w:t xml:space="preserve">является не только знание школьными учителями ответа на вопрос «Почему они обучают учеников определенным образом?», но и понимание способов интегрирования новых идей в собственной </w:t>
      </w:r>
      <w:r w:rsidR="00791DE6">
        <w:rPr>
          <w:color w:val="000000"/>
        </w:rPr>
        <w:t>педагогической практике</w:t>
      </w:r>
      <w:r w:rsidRPr="00D671A9">
        <w:rPr>
          <w:color w:val="000000"/>
        </w:rPr>
        <w:t xml:space="preserve">. С этой целью </w:t>
      </w:r>
      <w:r w:rsidR="00CE7963">
        <w:rPr>
          <w:color w:val="000000"/>
        </w:rPr>
        <w:t xml:space="preserve">была </w:t>
      </w:r>
      <w:r w:rsidRPr="00D671A9">
        <w:rPr>
          <w:color w:val="000000"/>
        </w:rPr>
        <w:t>пересм</w:t>
      </w:r>
      <w:r w:rsidR="00D8304F">
        <w:rPr>
          <w:color w:val="000000"/>
        </w:rPr>
        <w:t>отрена</w:t>
      </w:r>
      <w:r w:rsidRPr="00D671A9">
        <w:rPr>
          <w:color w:val="000000"/>
        </w:rPr>
        <w:t xml:space="preserve"> концепци</w:t>
      </w:r>
      <w:r>
        <w:rPr>
          <w:color w:val="000000"/>
        </w:rPr>
        <w:t>я планирования</w:t>
      </w:r>
      <w:r w:rsidR="00D8304F">
        <w:rPr>
          <w:color w:val="000000"/>
        </w:rPr>
        <w:t xml:space="preserve"> уроков</w:t>
      </w:r>
      <w:r>
        <w:rPr>
          <w:color w:val="000000"/>
        </w:rPr>
        <w:t>. И</w:t>
      </w:r>
      <w:r w:rsidRPr="00D671A9">
        <w:rPr>
          <w:color w:val="000000"/>
        </w:rPr>
        <w:t xml:space="preserve">спользуемые учителями календарные планы дают представление о курсе преподаваемого предмета, но не позволяют взглянуть на процесс обучения и преподавания детально, поскольку ориентированы на долгий срок реализации. </w:t>
      </w:r>
      <w:r>
        <w:rPr>
          <w:color w:val="000000"/>
        </w:rPr>
        <w:t>По</w:t>
      </w:r>
      <w:r w:rsidRPr="00D671A9">
        <w:rPr>
          <w:color w:val="000000"/>
        </w:rPr>
        <w:t xml:space="preserve">урочные планы учителя решают </w:t>
      </w:r>
      <w:r>
        <w:rPr>
          <w:color w:val="000000"/>
        </w:rPr>
        <w:t>основные</w:t>
      </w:r>
      <w:r w:rsidRPr="00D671A9">
        <w:rPr>
          <w:color w:val="000000"/>
        </w:rPr>
        <w:t xml:space="preserve"> вопросы обучения, задачи освоения, закрепления или контроля знаний. Программа курсов повышения квалификации педагогических работников РК значительно пополнила сведения учителей о более удобном и практично</w:t>
      </w:r>
      <w:r w:rsidR="00970D90">
        <w:rPr>
          <w:color w:val="000000"/>
        </w:rPr>
        <w:t>м построении учебного процесса</w:t>
      </w:r>
      <w:r w:rsidR="00D8304F">
        <w:rPr>
          <w:color w:val="000000"/>
        </w:rPr>
        <w:t>:</w:t>
      </w:r>
      <w:r w:rsidR="00970D90">
        <w:rPr>
          <w:color w:val="000000"/>
        </w:rPr>
        <w:t xml:space="preserve"> </w:t>
      </w:r>
      <w:r w:rsidRPr="00D671A9">
        <w:rPr>
          <w:color w:val="000000"/>
        </w:rPr>
        <w:t xml:space="preserve">предложено </w:t>
      </w:r>
      <w:r w:rsidR="00970D90">
        <w:rPr>
          <w:color w:val="000000"/>
        </w:rPr>
        <w:t xml:space="preserve">среднесрочное </w:t>
      </w:r>
      <w:r w:rsidRPr="00D671A9">
        <w:rPr>
          <w:color w:val="000000"/>
        </w:rPr>
        <w:t xml:space="preserve">планирование, которое охватывает </w:t>
      </w:r>
      <w:r w:rsidR="00970D90">
        <w:rPr>
          <w:color w:val="000000"/>
        </w:rPr>
        <w:t>блок/</w:t>
      </w:r>
      <w:r w:rsidRPr="00D671A9">
        <w:rPr>
          <w:color w:val="000000"/>
        </w:rPr>
        <w:t>модуль уроков.</w:t>
      </w:r>
    </w:p>
    <w:p w:rsidR="00970D90" w:rsidRDefault="00970D90" w:rsidP="00D8304F">
      <w:pPr>
        <w:pStyle w:val="ab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970D90">
        <w:rPr>
          <w:color w:val="000000"/>
        </w:rPr>
        <w:t>Среднесрочное планирование представляет собой процесс тран</w:t>
      </w:r>
      <w:r w:rsidR="00CE7963">
        <w:rPr>
          <w:color w:val="000000"/>
        </w:rPr>
        <w:t>сляции учебной программы в серию</w:t>
      </w:r>
      <w:r w:rsidRPr="00970D90">
        <w:rPr>
          <w:color w:val="000000"/>
        </w:rPr>
        <w:t xml:space="preserve"> последовательных уроков, в которой все семь модулей Программы интегрированы в практику преподавания в классе. В свою очередь каждый учитель самостоятельно использует среднесрочную последовательность для планирования отдельных уроков для отдельного класса.</w:t>
      </w:r>
    </w:p>
    <w:p w:rsidR="009C1CA7" w:rsidRDefault="009C1CA7" w:rsidP="00D830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могут использовать при планировании</w:t>
      </w:r>
      <w:r w:rsidR="00643C62">
        <w:rPr>
          <w:rFonts w:ascii="Times New Roman" w:hAnsi="Times New Roman" w:cs="Times New Roman"/>
          <w:sz w:val="24"/>
          <w:szCs w:val="24"/>
        </w:rPr>
        <w:t xml:space="preserve"> СПСПУ</w:t>
      </w:r>
      <w:r>
        <w:rPr>
          <w:rFonts w:ascii="Times New Roman" w:hAnsi="Times New Roman" w:cs="Times New Roman"/>
          <w:sz w:val="24"/>
          <w:szCs w:val="24"/>
        </w:rPr>
        <w:t xml:space="preserve"> руководство по планированию, которое содействует в понимании «для кого планируется серия последовательных уроков», «как она связана с учебной программой», «чему необходимо обучить» и «какой</w:t>
      </w:r>
      <w:r>
        <w:rPr>
          <w:rFonts w:ascii="Times New Roman" w:hAnsi="Times New Roman" w:cs="Times New Roman"/>
          <w:sz w:val="24"/>
          <w:szCs w:val="24"/>
        </w:rPr>
        <w:tab/>
        <w:t xml:space="preserve"> метод оценивания» необходимо использовать. </w:t>
      </w:r>
    </w:p>
    <w:p w:rsidR="009C1CA7" w:rsidRDefault="009C1CA7" w:rsidP="00D830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Среднесрочное планирование должно содержать тему, цель, результат обучения и рефлексию учителя по завершению серии последовательных уроков.</w:t>
      </w:r>
    </w:p>
    <w:p w:rsidR="00856701" w:rsidRPr="00856701" w:rsidRDefault="009C1CA7" w:rsidP="00D830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701" w:rsidRPr="00856701">
        <w:rPr>
          <w:rFonts w:ascii="Times New Roman" w:hAnsi="Times New Roman" w:cs="Times New Roman"/>
          <w:sz w:val="24"/>
          <w:szCs w:val="24"/>
        </w:rPr>
        <w:t xml:space="preserve">Тема среднесрочного планирования серии последовательных уроков </w:t>
      </w:r>
      <w:r w:rsidR="00856701">
        <w:rPr>
          <w:rFonts w:ascii="Times New Roman" w:hAnsi="Times New Roman" w:cs="Times New Roman"/>
          <w:sz w:val="24"/>
          <w:szCs w:val="24"/>
        </w:rPr>
        <w:t>должна соответствовать</w:t>
      </w:r>
      <w:r w:rsidR="00856701" w:rsidRPr="00856701">
        <w:rPr>
          <w:rFonts w:ascii="Times New Roman" w:hAnsi="Times New Roman" w:cs="Times New Roman"/>
          <w:sz w:val="24"/>
          <w:szCs w:val="24"/>
        </w:rPr>
        <w:t xml:space="preserve"> разделу учебной программы</w:t>
      </w:r>
      <w:r w:rsidR="00643C62">
        <w:rPr>
          <w:rFonts w:ascii="Times New Roman" w:hAnsi="Times New Roman" w:cs="Times New Roman"/>
          <w:sz w:val="24"/>
          <w:szCs w:val="24"/>
        </w:rPr>
        <w:t xml:space="preserve"> по предмету</w:t>
      </w:r>
      <w:r w:rsidR="00856701">
        <w:rPr>
          <w:rFonts w:ascii="Times New Roman" w:hAnsi="Times New Roman" w:cs="Times New Roman"/>
          <w:sz w:val="24"/>
          <w:szCs w:val="24"/>
        </w:rPr>
        <w:t>.</w:t>
      </w:r>
    </w:p>
    <w:p w:rsidR="00B35BC5" w:rsidRPr="00643C62" w:rsidRDefault="00970D90" w:rsidP="00643C62">
      <w:pPr>
        <w:pStyle w:val="ab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 w:rsidRPr="00856701">
        <w:rPr>
          <w:color w:val="000000"/>
        </w:rPr>
        <w:t>Цель среднесрочного</w:t>
      </w:r>
      <w:r w:rsidRPr="00970D90">
        <w:rPr>
          <w:color w:val="000000"/>
        </w:rPr>
        <w:t xml:space="preserve"> планирования или планирования серии последовательных уроков </w:t>
      </w:r>
      <w:proofErr w:type="spellStart"/>
      <w:r w:rsidR="00EF77B0">
        <w:rPr>
          <w:color w:val="000000"/>
        </w:rPr>
        <w:t>надпредметная</w:t>
      </w:r>
      <w:proofErr w:type="spellEnd"/>
      <w:r w:rsidR="00EF77B0">
        <w:rPr>
          <w:color w:val="000000"/>
        </w:rPr>
        <w:t xml:space="preserve">, </w:t>
      </w:r>
      <w:r w:rsidR="00CE7963">
        <w:rPr>
          <w:color w:val="000000"/>
        </w:rPr>
        <w:t xml:space="preserve">выражена отглагольным существительным, </w:t>
      </w:r>
      <w:r w:rsidR="00EF77B0" w:rsidRPr="00EF77B0">
        <w:t>связ</w:t>
      </w:r>
      <w:r w:rsidR="00EF77B0" w:rsidRPr="00EF77B0">
        <w:t>ана</w:t>
      </w:r>
      <w:r w:rsidR="00EF77B0" w:rsidRPr="00EF77B0">
        <w:t xml:space="preserve"> с </w:t>
      </w:r>
      <w:r w:rsidR="00EF77B0" w:rsidRPr="00EF77B0">
        <w:rPr>
          <w:bCs/>
        </w:rPr>
        <w:t>системно-</w:t>
      </w:r>
      <w:proofErr w:type="spellStart"/>
      <w:r w:rsidR="00EF77B0" w:rsidRPr="00EF77B0">
        <w:rPr>
          <w:bCs/>
        </w:rPr>
        <w:t>деятельностными</w:t>
      </w:r>
      <w:proofErr w:type="spellEnd"/>
      <w:r w:rsidR="00EF77B0" w:rsidRPr="00EF77B0">
        <w:rPr>
          <w:bCs/>
        </w:rPr>
        <w:t xml:space="preserve"> и</w:t>
      </w:r>
      <w:r w:rsidR="00EF77B0" w:rsidRPr="00EF77B0">
        <w:rPr>
          <w:bCs/>
          <w:lang w:val="kk-KZ"/>
        </w:rPr>
        <w:t xml:space="preserve"> личностными результатами учащихся согласно учебной программы</w:t>
      </w:r>
      <w:r w:rsidR="00EF77B0">
        <w:rPr>
          <w:color w:val="000000"/>
        </w:rPr>
        <w:t xml:space="preserve">, </w:t>
      </w:r>
      <w:r w:rsidR="00643C62">
        <w:rPr>
          <w:color w:val="000000"/>
        </w:rPr>
        <w:t>о</w:t>
      </w:r>
      <w:r w:rsidR="00B35BC5" w:rsidRPr="00643C62">
        <w:rPr>
          <w:color w:val="000000"/>
        </w:rPr>
        <w:t>беспеч</w:t>
      </w:r>
      <w:r w:rsidR="00643C62">
        <w:rPr>
          <w:color w:val="000000"/>
        </w:rPr>
        <w:t>ивающей</w:t>
      </w:r>
      <w:r w:rsidR="00B35BC5" w:rsidRPr="00643C62">
        <w:rPr>
          <w:color w:val="000000"/>
        </w:rPr>
        <w:t xml:space="preserve"> целенаправленн</w:t>
      </w:r>
      <w:r w:rsidR="00643C62">
        <w:rPr>
          <w:color w:val="000000"/>
        </w:rPr>
        <w:t>ую</w:t>
      </w:r>
      <w:r w:rsidR="00B35BC5" w:rsidRPr="00643C62">
        <w:rPr>
          <w:color w:val="000000"/>
        </w:rPr>
        <w:t xml:space="preserve"> положительн</w:t>
      </w:r>
      <w:r w:rsidR="00643C62">
        <w:rPr>
          <w:color w:val="000000"/>
        </w:rPr>
        <w:t>ую</w:t>
      </w:r>
      <w:r w:rsidR="00B35BC5" w:rsidRPr="00643C62">
        <w:rPr>
          <w:color w:val="000000"/>
        </w:rPr>
        <w:t xml:space="preserve"> динамик</w:t>
      </w:r>
      <w:r w:rsidR="00643C62">
        <w:rPr>
          <w:color w:val="000000"/>
        </w:rPr>
        <w:t>у</w:t>
      </w:r>
      <w:r w:rsidR="00B35BC5" w:rsidRPr="00643C62">
        <w:rPr>
          <w:color w:val="000000"/>
        </w:rPr>
        <w:t xml:space="preserve"> на протяжении всех этапов обучения</w:t>
      </w:r>
      <w:r w:rsidR="00534B20">
        <w:rPr>
          <w:color w:val="000000"/>
        </w:rPr>
        <w:t>.</w:t>
      </w:r>
    </w:p>
    <w:p w:rsidR="00970D90" w:rsidRPr="005F1A94" w:rsidRDefault="00643C62" w:rsidP="00D8304F">
      <w:pPr>
        <w:pStyle w:val="ab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  <w:r>
        <w:rPr>
          <w:color w:val="000000"/>
        </w:rPr>
        <w:t>Определенная/п</w:t>
      </w:r>
      <w:r w:rsidR="005F1A94">
        <w:rPr>
          <w:color w:val="000000"/>
        </w:rPr>
        <w:t>ланируемая</w:t>
      </w:r>
      <w:r w:rsidR="005F1A94" w:rsidRPr="005F1A94">
        <w:rPr>
          <w:color w:val="000000"/>
        </w:rPr>
        <w:t xml:space="preserve"> </w:t>
      </w:r>
      <w:r w:rsidR="005F1A94">
        <w:rPr>
          <w:color w:val="000000"/>
          <w:lang w:val="en-US"/>
        </w:rPr>
        <w:t>SMART</w:t>
      </w:r>
      <w:r w:rsidR="005F1A94">
        <w:rPr>
          <w:color w:val="000000"/>
        </w:rPr>
        <w:t>-цель</w:t>
      </w:r>
      <w:r w:rsidR="005F1A94" w:rsidRPr="005F1A94">
        <w:rPr>
          <w:color w:val="000000"/>
        </w:rPr>
        <w:t xml:space="preserve"> </w:t>
      </w:r>
      <w:r w:rsidR="005F1A94">
        <w:rPr>
          <w:color w:val="000000"/>
        </w:rPr>
        <w:t>должна согласовываться с целями и подцелями краткосрочного планирования и не противоречить им.</w:t>
      </w:r>
    </w:p>
    <w:p w:rsidR="00970D90" w:rsidRDefault="005F1A94" w:rsidP="00D830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обучения </w:t>
      </w:r>
      <w:r w:rsidR="00534B20">
        <w:rPr>
          <w:rFonts w:ascii="Times New Roman" w:hAnsi="Times New Roman" w:cs="Times New Roman"/>
          <w:sz w:val="24"/>
          <w:szCs w:val="24"/>
        </w:rPr>
        <w:t xml:space="preserve">отдельно взятого урока в СПСПУ </w:t>
      </w:r>
      <w:r>
        <w:rPr>
          <w:rFonts w:ascii="Times New Roman" w:hAnsi="Times New Roman" w:cs="Times New Roman"/>
          <w:sz w:val="24"/>
          <w:szCs w:val="24"/>
        </w:rPr>
        <w:t>определяются тем, чему учитель стремиться обучить учеников. В этой связи определяющими в формулировке цели преподавания и обучения должны стоять вопросы:</w:t>
      </w:r>
    </w:p>
    <w:p w:rsidR="005F1A94" w:rsidRPr="005F1A94" w:rsidRDefault="005F1A94" w:rsidP="00D8304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A94">
        <w:rPr>
          <w:rFonts w:ascii="Times New Roman" w:hAnsi="Times New Roman" w:cs="Times New Roman"/>
          <w:i/>
          <w:sz w:val="24"/>
          <w:szCs w:val="24"/>
        </w:rPr>
        <w:t>Какими знаниями должны, на Ваш взгляд, обладать ученики?</w:t>
      </w:r>
    </w:p>
    <w:p w:rsidR="005F1A94" w:rsidRPr="005F1A94" w:rsidRDefault="005F1A94" w:rsidP="00D8304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A94">
        <w:rPr>
          <w:rFonts w:ascii="Times New Roman" w:hAnsi="Times New Roman" w:cs="Times New Roman"/>
          <w:i/>
          <w:sz w:val="24"/>
          <w:szCs w:val="24"/>
        </w:rPr>
        <w:t>Какие ключевые идеи должны понять ученики?</w:t>
      </w:r>
    </w:p>
    <w:p w:rsidR="005F1A94" w:rsidRPr="005F1A94" w:rsidRDefault="005F1A94" w:rsidP="00D8304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A94">
        <w:rPr>
          <w:rFonts w:ascii="Times New Roman" w:hAnsi="Times New Roman" w:cs="Times New Roman"/>
          <w:i/>
          <w:sz w:val="24"/>
          <w:szCs w:val="24"/>
        </w:rPr>
        <w:t>Какие вопросы должны быть исследованы и проанализированы учениками?</w:t>
      </w:r>
    </w:p>
    <w:p w:rsidR="005F1A94" w:rsidRDefault="005F1A94" w:rsidP="00D830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обучения представ</w:t>
      </w:r>
      <w:r w:rsidR="00534B2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34B2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информацию о том, был ли </w:t>
      </w:r>
      <w:r w:rsidR="00534B20">
        <w:rPr>
          <w:rFonts w:ascii="Times New Roman" w:hAnsi="Times New Roman" w:cs="Times New Roman"/>
          <w:sz w:val="24"/>
          <w:szCs w:val="24"/>
        </w:rPr>
        <w:t>составленный план</w:t>
      </w:r>
      <w:r>
        <w:rPr>
          <w:rFonts w:ascii="Times New Roman" w:hAnsi="Times New Roman" w:cs="Times New Roman"/>
          <w:sz w:val="24"/>
          <w:szCs w:val="24"/>
        </w:rPr>
        <w:t xml:space="preserve"> успешен в дости</w:t>
      </w:r>
      <w:r w:rsidR="00534B20">
        <w:rPr>
          <w:rFonts w:ascii="Times New Roman" w:hAnsi="Times New Roman" w:cs="Times New Roman"/>
          <w:sz w:val="24"/>
          <w:szCs w:val="24"/>
        </w:rPr>
        <w:t xml:space="preserve">жении поставленных </w:t>
      </w:r>
      <w:r>
        <w:rPr>
          <w:rFonts w:ascii="Times New Roman" w:hAnsi="Times New Roman" w:cs="Times New Roman"/>
          <w:sz w:val="24"/>
          <w:szCs w:val="24"/>
        </w:rPr>
        <w:t>целей обучения на уроке.</w:t>
      </w:r>
    </w:p>
    <w:p w:rsidR="00430AAC" w:rsidRPr="00430AAC" w:rsidRDefault="00430AAC" w:rsidP="00534B20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обучения</w:t>
      </w:r>
      <w:r w:rsidR="00534B20">
        <w:rPr>
          <w:rFonts w:ascii="Times New Roman" w:hAnsi="Times New Roman" w:cs="Times New Roman"/>
          <w:sz w:val="24"/>
          <w:szCs w:val="24"/>
        </w:rPr>
        <w:t xml:space="preserve"> д</w:t>
      </w:r>
      <w:r w:rsidRPr="00534B20">
        <w:rPr>
          <w:rFonts w:ascii="Times New Roman" w:hAnsi="Times New Roman" w:cs="Times New Roman"/>
          <w:sz w:val="24"/>
          <w:szCs w:val="24"/>
        </w:rPr>
        <w:t>олжны быть</w:t>
      </w:r>
      <w:r w:rsidR="00534B20">
        <w:rPr>
          <w:rFonts w:ascii="Times New Roman" w:hAnsi="Times New Roman" w:cs="Times New Roman"/>
          <w:sz w:val="24"/>
          <w:szCs w:val="24"/>
        </w:rPr>
        <w:t xml:space="preserve"> о</w:t>
      </w:r>
      <w:r w:rsidRPr="00534B20">
        <w:rPr>
          <w:rFonts w:ascii="Times New Roman" w:hAnsi="Times New Roman" w:cs="Times New Roman"/>
          <w:i/>
          <w:sz w:val="24"/>
          <w:szCs w:val="24"/>
        </w:rPr>
        <w:t>риентированы на ученика</w:t>
      </w:r>
      <w:r w:rsidR="00534B20">
        <w:rPr>
          <w:rFonts w:ascii="Times New Roman" w:hAnsi="Times New Roman" w:cs="Times New Roman"/>
          <w:i/>
          <w:sz w:val="24"/>
          <w:szCs w:val="24"/>
        </w:rPr>
        <w:t>, в</w:t>
      </w:r>
      <w:r w:rsidRPr="00430AAC">
        <w:rPr>
          <w:rFonts w:ascii="Times New Roman" w:hAnsi="Times New Roman" w:cs="Times New Roman"/>
          <w:i/>
          <w:sz w:val="24"/>
          <w:szCs w:val="24"/>
        </w:rPr>
        <w:t>ыражены</w:t>
      </w:r>
      <w:r w:rsidR="00534B20">
        <w:rPr>
          <w:rFonts w:ascii="Times New Roman" w:hAnsi="Times New Roman" w:cs="Times New Roman"/>
          <w:i/>
          <w:sz w:val="24"/>
          <w:szCs w:val="24"/>
        </w:rPr>
        <w:t xml:space="preserve"> в форме глагола, описывающего </w:t>
      </w:r>
      <w:r w:rsidRPr="00430AAC">
        <w:rPr>
          <w:rFonts w:ascii="Times New Roman" w:hAnsi="Times New Roman" w:cs="Times New Roman"/>
          <w:i/>
          <w:sz w:val="24"/>
          <w:szCs w:val="24"/>
        </w:rPr>
        <w:t>навык</w:t>
      </w:r>
      <w:r w:rsidR="00534B20">
        <w:rPr>
          <w:rFonts w:ascii="Times New Roman" w:hAnsi="Times New Roman" w:cs="Times New Roman"/>
          <w:i/>
          <w:sz w:val="24"/>
          <w:szCs w:val="24"/>
        </w:rPr>
        <w:t>, приобретенный в ходе обучения и с</w:t>
      </w:r>
      <w:r w:rsidRPr="00430AAC">
        <w:rPr>
          <w:rFonts w:ascii="Times New Roman" w:hAnsi="Times New Roman" w:cs="Times New Roman"/>
          <w:i/>
          <w:sz w:val="24"/>
          <w:szCs w:val="24"/>
        </w:rPr>
        <w:t>оответствовать результатам успеваемости учеников.</w:t>
      </w:r>
    </w:p>
    <w:p w:rsidR="00430AAC" w:rsidRPr="00430AAC" w:rsidRDefault="00534B20" w:rsidP="00D83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430AAC" w:rsidRPr="00430AAC" w:rsidSect="00D671A9">
          <w:headerReference w:type="default" r:id="rId7"/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Р</w:t>
      </w:r>
      <w:r w:rsidR="00430AAC" w:rsidRPr="00430AAC">
        <w:rPr>
          <w:rFonts w:ascii="Times New Roman" w:hAnsi="Times New Roman" w:cs="Times New Roman"/>
          <w:sz w:val="24"/>
          <w:szCs w:val="24"/>
        </w:rPr>
        <w:t>ефлексия (</w:t>
      </w:r>
      <w:r w:rsidR="00430AAC" w:rsidRPr="00430AAC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spellStart"/>
      <w:r w:rsidR="00430AAC" w:rsidRPr="00430AAC">
        <w:rPr>
          <w:rFonts w:ascii="Times New Roman" w:hAnsi="Times New Roman" w:cs="Times New Roman"/>
          <w:sz w:val="24"/>
          <w:szCs w:val="24"/>
        </w:rPr>
        <w:t>надпредметной</w:t>
      </w:r>
      <w:proofErr w:type="spellEnd"/>
      <w:r w:rsidR="00430AAC" w:rsidRPr="00430AAC">
        <w:rPr>
          <w:rFonts w:ascii="Times New Roman" w:hAnsi="Times New Roman" w:cs="Times New Roman"/>
          <w:sz w:val="24"/>
          <w:szCs w:val="24"/>
        </w:rPr>
        <w:t xml:space="preserve"> цели и мониторинг качества знаний</w:t>
      </w:r>
      <w:r w:rsidR="00430AAC" w:rsidRPr="00430AAC">
        <w:rPr>
          <w:rFonts w:ascii="Times New Roman" w:hAnsi="Times New Roman" w:cs="Times New Roman"/>
          <w:sz w:val="24"/>
          <w:szCs w:val="24"/>
        </w:rPr>
        <w:t>)</w:t>
      </w:r>
      <w:r w:rsidR="00430AAC">
        <w:rPr>
          <w:rFonts w:ascii="Times New Roman" w:hAnsi="Times New Roman" w:cs="Times New Roman"/>
          <w:sz w:val="24"/>
          <w:szCs w:val="24"/>
        </w:rPr>
        <w:t xml:space="preserve"> по серии последоват</w:t>
      </w:r>
      <w:r>
        <w:rPr>
          <w:rFonts w:ascii="Times New Roman" w:hAnsi="Times New Roman" w:cs="Times New Roman"/>
          <w:sz w:val="24"/>
          <w:szCs w:val="24"/>
        </w:rPr>
        <w:t>ельных уроков является ключевым моментом процесса преподавания и обучения</w:t>
      </w:r>
      <w:r w:rsidR="00430AAC">
        <w:rPr>
          <w:rFonts w:ascii="Times New Roman" w:hAnsi="Times New Roman" w:cs="Times New Roman"/>
          <w:sz w:val="24"/>
          <w:szCs w:val="24"/>
        </w:rPr>
        <w:t>, котор</w:t>
      </w:r>
      <w:r w:rsidR="007E33C9">
        <w:rPr>
          <w:rFonts w:ascii="Times New Roman" w:hAnsi="Times New Roman" w:cs="Times New Roman"/>
          <w:sz w:val="24"/>
          <w:szCs w:val="24"/>
        </w:rPr>
        <w:t>ый</w:t>
      </w:r>
      <w:r w:rsidR="00430AAC">
        <w:rPr>
          <w:rFonts w:ascii="Times New Roman" w:hAnsi="Times New Roman" w:cs="Times New Roman"/>
          <w:sz w:val="24"/>
          <w:szCs w:val="24"/>
        </w:rPr>
        <w:t xml:space="preserve"> акцент</w:t>
      </w:r>
      <w:r w:rsidR="007E33C9">
        <w:rPr>
          <w:rFonts w:ascii="Times New Roman" w:hAnsi="Times New Roman" w:cs="Times New Roman"/>
          <w:sz w:val="24"/>
          <w:szCs w:val="24"/>
        </w:rPr>
        <w:t>ируется</w:t>
      </w:r>
      <w:r w:rsidR="00430AAC">
        <w:rPr>
          <w:rFonts w:ascii="Times New Roman" w:hAnsi="Times New Roman" w:cs="Times New Roman"/>
          <w:sz w:val="24"/>
          <w:szCs w:val="24"/>
        </w:rPr>
        <w:t xml:space="preserve"> на совершенствовании </w:t>
      </w:r>
      <w:r w:rsidR="007E33C9">
        <w:rPr>
          <w:rFonts w:ascii="Times New Roman" w:hAnsi="Times New Roman" w:cs="Times New Roman"/>
          <w:sz w:val="24"/>
          <w:szCs w:val="24"/>
        </w:rPr>
        <w:t>деятельности учителя</w:t>
      </w:r>
      <w:r w:rsidR="00430AAC">
        <w:rPr>
          <w:rFonts w:ascii="Times New Roman" w:hAnsi="Times New Roman" w:cs="Times New Roman"/>
          <w:sz w:val="24"/>
          <w:szCs w:val="24"/>
        </w:rPr>
        <w:t xml:space="preserve"> посредством внедрения новых концепций </w:t>
      </w:r>
      <w:r w:rsidR="007E33C9">
        <w:rPr>
          <w:rFonts w:ascii="Times New Roman" w:hAnsi="Times New Roman" w:cs="Times New Roman"/>
          <w:sz w:val="24"/>
          <w:szCs w:val="24"/>
        </w:rPr>
        <w:t>и</w:t>
      </w:r>
      <w:r w:rsidR="00430AAC">
        <w:rPr>
          <w:rFonts w:ascii="Times New Roman" w:hAnsi="Times New Roman" w:cs="Times New Roman"/>
          <w:sz w:val="24"/>
          <w:szCs w:val="24"/>
        </w:rPr>
        <w:t xml:space="preserve"> их влияни</w:t>
      </w:r>
      <w:r w:rsidR="007E33C9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430AAC">
        <w:rPr>
          <w:rFonts w:ascii="Times New Roman" w:hAnsi="Times New Roman" w:cs="Times New Roman"/>
          <w:sz w:val="24"/>
          <w:szCs w:val="24"/>
        </w:rPr>
        <w:t xml:space="preserve"> на практику преподавания и обучения.</w:t>
      </w:r>
    </w:p>
    <w:p w:rsidR="00F95074" w:rsidRPr="00BC7509" w:rsidRDefault="008C5A03" w:rsidP="00D83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509">
        <w:rPr>
          <w:rFonts w:ascii="Times New Roman" w:hAnsi="Times New Roman" w:cs="Times New Roman"/>
          <w:b/>
          <w:sz w:val="24"/>
          <w:szCs w:val="24"/>
        </w:rPr>
        <w:lastRenderedPageBreak/>
        <w:t>Примерная схема построения среднесрочного планирования:</w:t>
      </w:r>
    </w:p>
    <w:p w:rsidR="00DE1292" w:rsidRPr="008812D3" w:rsidRDefault="0096368C" w:rsidP="00D83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856701">
        <w:rPr>
          <w:rFonts w:ascii="Times New Roman" w:hAnsi="Times New Roman" w:cs="Times New Roman"/>
          <w:b/>
          <w:sz w:val="24"/>
          <w:szCs w:val="24"/>
        </w:rPr>
        <w:t>_</w:t>
      </w:r>
      <w:r w:rsidR="008C5A03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DE1292" w:rsidRDefault="00DE1292" w:rsidP="00D8304F">
      <w:pPr>
        <w:jc w:val="both"/>
        <w:rPr>
          <w:rFonts w:ascii="Times New Roman" w:hAnsi="Times New Roman" w:cs="Times New Roman"/>
          <w:sz w:val="24"/>
          <w:szCs w:val="24"/>
        </w:rPr>
      </w:pPr>
      <w:r w:rsidRPr="008812D3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EF77B0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4"/>
        <w:gridCol w:w="3030"/>
        <w:gridCol w:w="2091"/>
        <w:gridCol w:w="2478"/>
        <w:gridCol w:w="2602"/>
        <w:gridCol w:w="2209"/>
        <w:gridCol w:w="2320"/>
      </w:tblGrid>
      <w:tr w:rsidR="00D8304F" w:rsidRPr="00D310FD" w:rsidTr="00430AAC">
        <w:tc>
          <w:tcPr>
            <w:tcW w:w="964" w:type="dxa"/>
          </w:tcPr>
          <w:p w:rsidR="00DE1292" w:rsidRPr="00D310FD" w:rsidRDefault="00DE1292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0FD">
              <w:rPr>
                <w:rFonts w:ascii="Times New Roman" w:hAnsi="Times New Roman" w:cs="Times New Roman"/>
                <w:b/>
              </w:rPr>
              <w:t>№</w:t>
            </w:r>
            <w:r w:rsidR="00514438">
              <w:rPr>
                <w:rFonts w:ascii="Times New Roman" w:hAnsi="Times New Roman" w:cs="Times New Roman"/>
                <w:b/>
              </w:rPr>
              <w:t>/тема урока</w:t>
            </w:r>
          </w:p>
        </w:tc>
        <w:tc>
          <w:tcPr>
            <w:tcW w:w="3030" w:type="dxa"/>
          </w:tcPr>
          <w:p w:rsidR="00DE1292" w:rsidRPr="00D310FD" w:rsidRDefault="00DE1292" w:rsidP="00D830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D310FD">
              <w:rPr>
                <w:rFonts w:ascii="Times New Roman" w:hAnsi="Times New Roman" w:cs="Times New Roman"/>
                <w:b/>
              </w:rPr>
              <w:t>Основные цели обучения</w:t>
            </w:r>
          </w:p>
        </w:tc>
        <w:tc>
          <w:tcPr>
            <w:tcW w:w="2091" w:type="dxa"/>
          </w:tcPr>
          <w:p w:rsidR="00DE1292" w:rsidRPr="00D310FD" w:rsidRDefault="00DE1292" w:rsidP="00D830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D310FD">
              <w:rPr>
                <w:rFonts w:ascii="Times New Roman" w:hAnsi="Times New Roman" w:cs="Times New Roman"/>
                <w:b/>
              </w:rPr>
              <w:t xml:space="preserve">Формы </w:t>
            </w:r>
          </w:p>
          <w:p w:rsidR="00DE1292" w:rsidRPr="00D310FD" w:rsidRDefault="00DE1292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D310FD">
              <w:rPr>
                <w:rFonts w:ascii="Times New Roman" w:hAnsi="Times New Roman" w:cs="Times New Roman"/>
                <w:b/>
              </w:rPr>
              <w:t>работы</w:t>
            </w:r>
            <w:proofErr w:type="gramEnd"/>
            <w:r w:rsidRPr="00D310FD">
              <w:rPr>
                <w:rFonts w:ascii="Times New Roman" w:hAnsi="Times New Roman" w:cs="Times New Roman"/>
                <w:b/>
              </w:rPr>
              <w:t>, используемые при активном обучении</w:t>
            </w:r>
          </w:p>
        </w:tc>
        <w:tc>
          <w:tcPr>
            <w:tcW w:w="2478" w:type="dxa"/>
          </w:tcPr>
          <w:p w:rsidR="00DE1292" w:rsidRPr="00D310FD" w:rsidRDefault="00DE1292" w:rsidP="00D830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D310F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2602" w:type="dxa"/>
          </w:tcPr>
          <w:p w:rsidR="00DE1292" w:rsidRPr="00D310FD" w:rsidRDefault="00DE1292" w:rsidP="00D830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D310FD">
              <w:rPr>
                <w:rFonts w:ascii="Times New Roman" w:hAnsi="Times New Roman" w:cs="Times New Roman"/>
                <w:b/>
              </w:rPr>
              <w:t xml:space="preserve">Оценивание, </w:t>
            </w:r>
          </w:p>
          <w:p w:rsidR="00DE1292" w:rsidRPr="00D310FD" w:rsidRDefault="00DE1292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D310FD">
              <w:rPr>
                <w:rFonts w:ascii="Times New Roman" w:hAnsi="Times New Roman" w:cs="Times New Roman"/>
                <w:b/>
              </w:rPr>
              <w:t>включая</w:t>
            </w:r>
            <w:proofErr w:type="gramEnd"/>
            <w:r w:rsidRPr="00D310FD">
              <w:rPr>
                <w:rFonts w:ascii="Times New Roman" w:hAnsi="Times New Roman" w:cs="Times New Roman"/>
                <w:b/>
              </w:rPr>
              <w:t xml:space="preserve"> оценку в целях обучения</w:t>
            </w:r>
          </w:p>
        </w:tc>
        <w:tc>
          <w:tcPr>
            <w:tcW w:w="2209" w:type="dxa"/>
          </w:tcPr>
          <w:p w:rsidR="00DE1292" w:rsidRPr="00D310FD" w:rsidRDefault="00DE1292" w:rsidP="00D830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D310FD">
              <w:rPr>
                <w:rFonts w:ascii="Times New Roman" w:hAnsi="Times New Roman" w:cs="Times New Roman"/>
                <w:b/>
              </w:rPr>
              <w:t>Включая всех</w:t>
            </w:r>
          </w:p>
        </w:tc>
        <w:tc>
          <w:tcPr>
            <w:tcW w:w="2320" w:type="dxa"/>
          </w:tcPr>
          <w:p w:rsidR="00DE1292" w:rsidRPr="00D310FD" w:rsidRDefault="00DE1292" w:rsidP="00D8304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D310FD">
              <w:rPr>
                <w:rFonts w:ascii="Times New Roman" w:hAnsi="Times New Roman" w:cs="Times New Roman"/>
                <w:b/>
              </w:rPr>
              <w:t>Основные ресурсы</w:t>
            </w:r>
          </w:p>
        </w:tc>
      </w:tr>
      <w:tr w:rsidR="00D8304F" w:rsidRPr="00D310FD" w:rsidTr="00430AAC">
        <w:tc>
          <w:tcPr>
            <w:tcW w:w="964" w:type="dxa"/>
            <w:vMerge w:val="restart"/>
          </w:tcPr>
          <w:p w:rsidR="00514438" w:rsidRPr="00D310FD" w:rsidRDefault="00514438" w:rsidP="00D8304F">
            <w:pPr>
              <w:jc w:val="both"/>
              <w:rPr>
                <w:rFonts w:ascii="Times New Roman" w:hAnsi="Times New Roman" w:cs="Times New Roman"/>
              </w:rPr>
            </w:pPr>
            <w:r w:rsidRPr="00D310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0" w:type="dxa"/>
          </w:tcPr>
          <w:p w:rsidR="00514438" w:rsidRDefault="00514438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1.Знать и понимать</w:t>
            </w:r>
          </w:p>
          <w:p w:rsidR="00BC7509" w:rsidRPr="00BC7509" w:rsidRDefault="00BC7509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514438" w:rsidRPr="00430AAC" w:rsidRDefault="00430AAC" w:rsidP="00D8304F">
            <w:pPr>
              <w:jc w:val="both"/>
              <w:rPr>
                <w:rFonts w:ascii="Times New Roman" w:hAnsi="Times New Roman" w:cs="Times New Roman"/>
              </w:rPr>
            </w:pPr>
            <w:r w:rsidRPr="00430AAC">
              <w:rPr>
                <w:rFonts w:ascii="Times New Roman" w:hAnsi="Times New Roman" w:cs="Times New Roman"/>
              </w:rPr>
              <w:t>Приемы и методы обучения</w:t>
            </w:r>
          </w:p>
        </w:tc>
        <w:tc>
          <w:tcPr>
            <w:tcW w:w="2478" w:type="dxa"/>
          </w:tcPr>
          <w:p w:rsidR="00514438" w:rsidRPr="00BC7509" w:rsidRDefault="00514438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Все:</w:t>
            </w:r>
          </w:p>
        </w:tc>
        <w:tc>
          <w:tcPr>
            <w:tcW w:w="2602" w:type="dxa"/>
          </w:tcPr>
          <w:p w:rsidR="00514438" w:rsidRPr="00430AAC" w:rsidRDefault="00430AAC" w:rsidP="00D8304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30A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Стратегии оценивания</w:t>
            </w:r>
          </w:p>
        </w:tc>
        <w:tc>
          <w:tcPr>
            <w:tcW w:w="2209" w:type="dxa"/>
          </w:tcPr>
          <w:p w:rsidR="00514438" w:rsidRPr="00BC7509" w:rsidRDefault="00514438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Ученик «А»</w:t>
            </w:r>
          </w:p>
        </w:tc>
        <w:tc>
          <w:tcPr>
            <w:tcW w:w="2320" w:type="dxa"/>
            <w:vMerge w:val="restart"/>
          </w:tcPr>
          <w:p w:rsidR="00D8304F" w:rsidRPr="00D8304F" w:rsidRDefault="00D8304F" w:rsidP="00D8304F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Учебник (§, № упражнения/задания),</w:t>
            </w:r>
          </w:p>
          <w:p w:rsidR="00514438" w:rsidRPr="00D8304F" w:rsidRDefault="00D8304F" w:rsidP="00D830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резентации</w:t>
            </w:r>
            <w:proofErr w:type="gramEnd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памятки, маркеры, бумага, </w:t>
            </w:r>
            <w:proofErr w:type="spellStart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стикеры</w:t>
            </w:r>
            <w:proofErr w:type="spellEnd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флипчарты</w:t>
            </w:r>
            <w:proofErr w:type="spellEnd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карточки и др.</w:t>
            </w:r>
          </w:p>
        </w:tc>
      </w:tr>
      <w:tr w:rsidR="00D8304F" w:rsidRPr="00D310FD" w:rsidTr="00430AAC">
        <w:tc>
          <w:tcPr>
            <w:tcW w:w="964" w:type="dxa"/>
            <w:vMerge/>
          </w:tcPr>
          <w:p w:rsidR="00430AAC" w:rsidRPr="00D310FD" w:rsidRDefault="00430AAC" w:rsidP="00D83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430AAC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2.Применять</w:t>
            </w:r>
          </w:p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</w:rPr>
              <w:t>Приемы и методы обучения</w:t>
            </w:r>
          </w:p>
        </w:tc>
        <w:tc>
          <w:tcPr>
            <w:tcW w:w="2478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Большинство:</w:t>
            </w:r>
          </w:p>
        </w:tc>
        <w:tc>
          <w:tcPr>
            <w:tcW w:w="2602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Стратегии оценивания</w:t>
            </w:r>
          </w:p>
        </w:tc>
        <w:tc>
          <w:tcPr>
            <w:tcW w:w="2209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Ученик «В»</w:t>
            </w:r>
          </w:p>
        </w:tc>
        <w:tc>
          <w:tcPr>
            <w:tcW w:w="2320" w:type="dxa"/>
            <w:vMerge/>
          </w:tcPr>
          <w:p w:rsidR="00430AAC" w:rsidRPr="00D8304F" w:rsidRDefault="00430AAC" w:rsidP="00D830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4F" w:rsidRPr="00D310FD" w:rsidTr="00430AAC">
        <w:tc>
          <w:tcPr>
            <w:tcW w:w="964" w:type="dxa"/>
            <w:vMerge/>
          </w:tcPr>
          <w:p w:rsidR="00430AAC" w:rsidRPr="00D310FD" w:rsidRDefault="00430AAC" w:rsidP="00D83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430AAC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3.Анализировать/оценивать</w:t>
            </w:r>
          </w:p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</w:rPr>
              <w:t>Приемы и методы обучения</w:t>
            </w:r>
          </w:p>
        </w:tc>
        <w:tc>
          <w:tcPr>
            <w:tcW w:w="2478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Некоторые:</w:t>
            </w:r>
          </w:p>
        </w:tc>
        <w:tc>
          <w:tcPr>
            <w:tcW w:w="2602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Стратегии оценивания</w:t>
            </w:r>
          </w:p>
        </w:tc>
        <w:tc>
          <w:tcPr>
            <w:tcW w:w="2209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Ученик «С»</w:t>
            </w:r>
          </w:p>
        </w:tc>
        <w:tc>
          <w:tcPr>
            <w:tcW w:w="2320" w:type="dxa"/>
            <w:vMerge/>
          </w:tcPr>
          <w:p w:rsidR="00430AAC" w:rsidRPr="00D8304F" w:rsidRDefault="00430AAC" w:rsidP="00D830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4F" w:rsidRPr="00D310FD" w:rsidTr="00430AAC">
        <w:tc>
          <w:tcPr>
            <w:tcW w:w="964" w:type="dxa"/>
            <w:vMerge w:val="restart"/>
          </w:tcPr>
          <w:p w:rsidR="00430AAC" w:rsidRPr="00D310FD" w:rsidRDefault="00430AAC" w:rsidP="00D8304F">
            <w:pPr>
              <w:jc w:val="both"/>
              <w:rPr>
                <w:rFonts w:ascii="Times New Roman" w:hAnsi="Times New Roman" w:cs="Times New Roman"/>
              </w:rPr>
            </w:pPr>
            <w:r w:rsidRPr="00D310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30" w:type="dxa"/>
          </w:tcPr>
          <w:p w:rsidR="00430AAC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1.Знать и понимать</w:t>
            </w:r>
          </w:p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</w:rPr>
              <w:t>Приемы и методы обучения</w:t>
            </w:r>
          </w:p>
        </w:tc>
        <w:tc>
          <w:tcPr>
            <w:tcW w:w="2478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Все:</w:t>
            </w:r>
          </w:p>
        </w:tc>
        <w:tc>
          <w:tcPr>
            <w:tcW w:w="2602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Стратегии оценивания</w:t>
            </w:r>
          </w:p>
        </w:tc>
        <w:tc>
          <w:tcPr>
            <w:tcW w:w="2209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Ученик «А»</w:t>
            </w:r>
          </w:p>
        </w:tc>
        <w:tc>
          <w:tcPr>
            <w:tcW w:w="2320" w:type="dxa"/>
            <w:vMerge w:val="restart"/>
          </w:tcPr>
          <w:p w:rsidR="00D8304F" w:rsidRPr="00D8304F" w:rsidRDefault="00D8304F" w:rsidP="00D8304F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Учебник (§, № упражнения/задания),</w:t>
            </w:r>
          </w:p>
          <w:p w:rsidR="00430AAC" w:rsidRPr="00D8304F" w:rsidRDefault="00D8304F" w:rsidP="00D830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презентации</w:t>
            </w:r>
            <w:proofErr w:type="gramEnd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памятки, маркеры, бумага, </w:t>
            </w:r>
            <w:proofErr w:type="spellStart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стикеры</w:t>
            </w:r>
            <w:proofErr w:type="spellEnd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флипчарты</w:t>
            </w:r>
            <w:proofErr w:type="spellEnd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карточки и др.</w:t>
            </w:r>
          </w:p>
        </w:tc>
      </w:tr>
      <w:tr w:rsidR="00D8304F" w:rsidRPr="00D310FD" w:rsidTr="00430AAC">
        <w:tc>
          <w:tcPr>
            <w:tcW w:w="964" w:type="dxa"/>
            <w:vMerge/>
          </w:tcPr>
          <w:p w:rsidR="00430AAC" w:rsidRPr="00D310FD" w:rsidRDefault="00430AAC" w:rsidP="00D83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430AAC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2.Применять</w:t>
            </w:r>
          </w:p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</w:rPr>
              <w:t>Приемы и методы обучения</w:t>
            </w:r>
          </w:p>
        </w:tc>
        <w:tc>
          <w:tcPr>
            <w:tcW w:w="2478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Большинство:</w:t>
            </w:r>
          </w:p>
        </w:tc>
        <w:tc>
          <w:tcPr>
            <w:tcW w:w="2602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Стратегии оценивания</w:t>
            </w:r>
          </w:p>
        </w:tc>
        <w:tc>
          <w:tcPr>
            <w:tcW w:w="2209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Ученик «В»</w:t>
            </w:r>
          </w:p>
        </w:tc>
        <w:tc>
          <w:tcPr>
            <w:tcW w:w="2320" w:type="dxa"/>
            <w:vMerge/>
          </w:tcPr>
          <w:p w:rsidR="00430AAC" w:rsidRPr="00D8304F" w:rsidRDefault="00430AAC" w:rsidP="00D830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4F" w:rsidRPr="00D310FD" w:rsidTr="00430AAC">
        <w:tc>
          <w:tcPr>
            <w:tcW w:w="964" w:type="dxa"/>
            <w:vMerge/>
          </w:tcPr>
          <w:p w:rsidR="00430AAC" w:rsidRPr="00D310FD" w:rsidRDefault="00430AAC" w:rsidP="00D83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430AAC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3.Анализировать/оценивать</w:t>
            </w:r>
          </w:p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</w:rPr>
              <w:t>Приемы и методы обучения</w:t>
            </w:r>
          </w:p>
        </w:tc>
        <w:tc>
          <w:tcPr>
            <w:tcW w:w="2478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Некоторые:</w:t>
            </w:r>
          </w:p>
        </w:tc>
        <w:tc>
          <w:tcPr>
            <w:tcW w:w="2602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Стратегии оценивания</w:t>
            </w:r>
          </w:p>
        </w:tc>
        <w:tc>
          <w:tcPr>
            <w:tcW w:w="2209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Ученик «С»</w:t>
            </w:r>
          </w:p>
        </w:tc>
        <w:tc>
          <w:tcPr>
            <w:tcW w:w="2320" w:type="dxa"/>
            <w:vMerge/>
          </w:tcPr>
          <w:p w:rsidR="00430AAC" w:rsidRPr="00D8304F" w:rsidRDefault="00430AAC" w:rsidP="00D830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4F" w:rsidRPr="00D310FD" w:rsidTr="00430AAC">
        <w:tc>
          <w:tcPr>
            <w:tcW w:w="964" w:type="dxa"/>
            <w:vMerge w:val="restart"/>
          </w:tcPr>
          <w:p w:rsidR="00430AAC" w:rsidRPr="00D310FD" w:rsidRDefault="00430AAC" w:rsidP="00D8304F">
            <w:pPr>
              <w:jc w:val="both"/>
              <w:rPr>
                <w:rFonts w:ascii="Times New Roman" w:hAnsi="Times New Roman" w:cs="Times New Roman"/>
              </w:rPr>
            </w:pPr>
            <w:r w:rsidRPr="00D310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30" w:type="dxa"/>
          </w:tcPr>
          <w:p w:rsidR="00430AAC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1.Знать и понимать</w:t>
            </w:r>
          </w:p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</w:rPr>
              <w:t>Приемы и методы обучения</w:t>
            </w:r>
          </w:p>
        </w:tc>
        <w:tc>
          <w:tcPr>
            <w:tcW w:w="2478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Все:</w:t>
            </w:r>
          </w:p>
        </w:tc>
        <w:tc>
          <w:tcPr>
            <w:tcW w:w="2602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Стратегии оценивания</w:t>
            </w:r>
          </w:p>
        </w:tc>
        <w:tc>
          <w:tcPr>
            <w:tcW w:w="2209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Ученик «А»</w:t>
            </w:r>
          </w:p>
        </w:tc>
        <w:tc>
          <w:tcPr>
            <w:tcW w:w="2320" w:type="dxa"/>
            <w:vMerge w:val="restart"/>
          </w:tcPr>
          <w:p w:rsidR="00D8304F" w:rsidRPr="00D8304F" w:rsidRDefault="00D8304F" w:rsidP="00D8304F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Учебник (§, № упражнения/задания),</w:t>
            </w:r>
          </w:p>
          <w:p w:rsidR="00430AAC" w:rsidRPr="00D8304F" w:rsidRDefault="00D8304F" w:rsidP="00D830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презентации</w:t>
            </w:r>
            <w:proofErr w:type="gramEnd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памятки, маркеры, бумага, </w:t>
            </w:r>
            <w:proofErr w:type="spellStart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стикеры</w:t>
            </w:r>
            <w:proofErr w:type="spellEnd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флипчарты</w:t>
            </w:r>
            <w:proofErr w:type="spellEnd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карточки и др.</w:t>
            </w:r>
          </w:p>
        </w:tc>
      </w:tr>
      <w:tr w:rsidR="00D8304F" w:rsidRPr="00D310FD" w:rsidTr="00430AAC">
        <w:tc>
          <w:tcPr>
            <w:tcW w:w="964" w:type="dxa"/>
            <w:vMerge/>
          </w:tcPr>
          <w:p w:rsidR="00430AAC" w:rsidRPr="00D310FD" w:rsidRDefault="00430AAC" w:rsidP="00D83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430AAC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2.Применять</w:t>
            </w:r>
          </w:p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</w:rPr>
              <w:t>Приемы и методы обучения</w:t>
            </w:r>
          </w:p>
        </w:tc>
        <w:tc>
          <w:tcPr>
            <w:tcW w:w="2478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Большинство:</w:t>
            </w:r>
          </w:p>
        </w:tc>
        <w:tc>
          <w:tcPr>
            <w:tcW w:w="2602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Стратегии оценивания</w:t>
            </w:r>
          </w:p>
        </w:tc>
        <w:tc>
          <w:tcPr>
            <w:tcW w:w="2209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Ученик «В»</w:t>
            </w:r>
          </w:p>
        </w:tc>
        <w:tc>
          <w:tcPr>
            <w:tcW w:w="2320" w:type="dxa"/>
            <w:vMerge/>
          </w:tcPr>
          <w:p w:rsidR="00430AAC" w:rsidRPr="00D8304F" w:rsidRDefault="00430AAC" w:rsidP="00D830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4F" w:rsidRPr="00D310FD" w:rsidTr="00430AAC">
        <w:tc>
          <w:tcPr>
            <w:tcW w:w="964" w:type="dxa"/>
            <w:vMerge/>
          </w:tcPr>
          <w:p w:rsidR="00430AAC" w:rsidRPr="00D310FD" w:rsidRDefault="00430AAC" w:rsidP="00D83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430AAC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3.Анализировать/оценивать</w:t>
            </w:r>
          </w:p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</w:rPr>
              <w:t>Приемы и методы обучения</w:t>
            </w:r>
          </w:p>
        </w:tc>
        <w:tc>
          <w:tcPr>
            <w:tcW w:w="2478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Некоторые:</w:t>
            </w:r>
          </w:p>
        </w:tc>
        <w:tc>
          <w:tcPr>
            <w:tcW w:w="2602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Стратегии оценивания</w:t>
            </w:r>
          </w:p>
        </w:tc>
        <w:tc>
          <w:tcPr>
            <w:tcW w:w="2209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Ученик «С»</w:t>
            </w:r>
          </w:p>
        </w:tc>
        <w:tc>
          <w:tcPr>
            <w:tcW w:w="2320" w:type="dxa"/>
            <w:vMerge/>
          </w:tcPr>
          <w:p w:rsidR="00430AAC" w:rsidRPr="00D8304F" w:rsidRDefault="00430AAC" w:rsidP="00D830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4F" w:rsidRPr="00D310FD" w:rsidTr="00430AAC">
        <w:tc>
          <w:tcPr>
            <w:tcW w:w="964" w:type="dxa"/>
            <w:vMerge w:val="restart"/>
          </w:tcPr>
          <w:p w:rsidR="00430AAC" w:rsidRPr="00D310FD" w:rsidRDefault="00430AAC" w:rsidP="00D8304F">
            <w:pPr>
              <w:jc w:val="both"/>
              <w:rPr>
                <w:rFonts w:ascii="Times New Roman" w:hAnsi="Times New Roman" w:cs="Times New Roman"/>
              </w:rPr>
            </w:pPr>
            <w:r w:rsidRPr="00D310F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30" w:type="dxa"/>
          </w:tcPr>
          <w:p w:rsidR="00430AAC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1.Знать и понимать</w:t>
            </w:r>
          </w:p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</w:rPr>
              <w:t>Приемы и методы обучения</w:t>
            </w:r>
          </w:p>
        </w:tc>
        <w:tc>
          <w:tcPr>
            <w:tcW w:w="2478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Все:</w:t>
            </w:r>
          </w:p>
        </w:tc>
        <w:tc>
          <w:tcPr>
            <w:tcW w:w="2602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Стратегии оценивания</w:t>
            </w:r>
          </w:p>
        </w:tc>
        <w:tc>
          <w:tcPr>
            <w:tcW w:w="2209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Ученик «А»</w:t>
            </w:r>
          </w:p>
        </w:tc>
        <w:tc>
          <w:tcPr>
            <w:tcW w:w="2320" w:type="dxa"/>
            <w:vMerge w:val="restart"/>
          </w:tcPr>
          <w:p w:rsidR="00D8304F" w:rsidRPr="00D8304F" w:rsidRDefault="00D8304F" w:rsidP="00D8304F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Учебник (§, № упражнения/задания),</w:t>
            </w:r>
          </w:p>
          <w:p w:rsidR="00430AAC" w:rsidRPr="00D8304F" w:rsidRDefault="00D8304F" w:rsidP="00D830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презентации</w:t>
            </w:r>
            <w:proofErr w:type="gramEnd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памятки, маркеры, бумага, </w:t>
            </w:r>
            <w:proofErr w:type="spellStart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стикеры</w:t>
            </w:r>
            <w:proofErr w:type="spellEnd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флипчарты</w:t>
            </w:r>
            <w:proofErr w:type="spellEnd"/>
            <w:r w:rsidRPr="00D8304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карточки и др.</w:t>
            </w:r>
          </w:p>
        </w:tc>
      </w:tr>
      <w:tr w:rsidR="00D8304F" w:rsidRPr="00D310FD" w:rsidTr="00430AAC">
        <w:tc>
          <w:tcPr>
            <w:tcW w:w="964" w:type="dxa"/>
            <w:vMerge/>
          </w:tcPr>
          <w:p w:rsidR="00430AAC" w:rsidRPr="00D310FD" w:rsidRDefault="00430AAC" w:rsidP="00D83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430AAC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2.Применять</w:t>
            </w:r>
          </w:p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</w:rPr>
              <w:t>Приемы и методы обучения</w:t>
            </w:r>
          </w:p>
        </w:tc>
        <w:tc>
          <w:tcPr>
            <w:tcW w:w="2478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Большинство:</w:t>
            </w:r>
          </w:p>
        </w:tc>
        <w:tc>
          <w:tcPr>
            <w:tcW w:w="2602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Стратегии оценивания</w:t>
            </w:r>
          </w:p>
        </w:tc>
        <w:tc>
          <w:tcPr>
            <w:tcW w:w="2209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Ученик «В»</w:t>
            </w:r>
          </w:p>
        </w:tc>
        <w:tc>
          <w:tcPr>
            <w:tcW w:w="2320" w:type="dxa"/>
            <w:vMerge/>
          </w:tcPr>
          <w:p w:rsidR="00430AAC" w:rsidRPr="00D310FD" w:rsidRDefault="00430AAC" w:rsidP="00D830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304F" w:rsidRPr="00D310FD" w:rsidTr="00430AAC">
        <w:tc>
          <w:tcPr>
            <w:tcW w:w="964" w:type="dxa"/>
            <w:vMerge/>
          </w:tcPr>
          <w:p w:rsidR="00430AAC" w:rsidRPr="00D310FD" w:rsidRDefault="00430AAC" w:rsidP="00D83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430AAC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3.Анализировать/оценивать</w:t>
            </w:r>
          </w:p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</w:rPr>
              <w:t>Приемы и методы обучения</w:t>
            </w:r>
          </w:p>
        </w:tc>
        <w:tc>
          <w:tcPr>
            <w:tcW w:w="2478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Некоторые:</w:t>
            </w:r>
          </w:p>
        </w:tc>
        <w:tc>
          <w:tcPr>
            <w:tcW w:w="2602" w:type="dxa"/>
          </w:tcPr>
          <w:p w:rsidR="00430AAC" w:rsidRPr="00430AAC" w:rsidRDefault="00430AAC" w:rsidP="00D8304F">
            <w:pPr>
              <w:jc w:val="both"/>
            </w:pPr>
            <w:r w:rsidRPr="00430A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Стратегии оценивания</w:t>
            </w:r>
          </w:p>
        </w:tc>
        <w:tc>
          <w:tcPr>
            <w:tcW w:w="2209" w:type="dxa"/>
          </w:tcPr>
          <w:p w:rsidR="00430AAC" w:rsidRPr="00BC7509" w:rsidRDefault="00430AAC" w:rsidP="00D830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7509">
              <w:rPr>
                <w:rFonts w:ascii="Times New Roman" w:hAnsi="Times New Roman" w:cs="Times New Roman"/>
                <w:b/>
              </w:rPr>
              <w:t>Ученик «С»</w:t>
            </w:r>
          </w:p>
        </w:tc>
        <w:tc>
          <w:tcPr>
            <w:tcW w:w="2320" w:type="dxa"/>
            <w:vMerge/>
          </w:tcPr>
          <w:p w:rsidR="00430AAC" w:rsidRPr="00D310FD" w:rsidRDefault="00430AAC" w:rsidP="00D830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C7509" w:rsidRDefault="00BC7509" w:rsidP="00D830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A17" w:rsidRPr="00514438" w:rsidRDefault="00514438" w:rsidP="00D83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438">
        <w:rPr>
          <w:rFonts w:ascii="Times New Roman" w:hAnsi="Times New Roman" w:cs="Times New Roman"/>
          <w:b/>
          <w:sz w:val="24"/>
          <w:szCs w:val="24"/>
        </w:rPr>
        <w:t xml:space="preserve">Рефлексия (достижение </w:t>
      </w:r>
      <w:proofErr w:type="spellStart"/>
      <w:r w:rsidR="003C162B">
        <w:rPr>
          <w:rFonts w:ascii="Times New Roman" w:hAnsi="Times New Roman" w:cs="Times New Roman"/>
          <w:b/>
          <w:sz w:val="24"/>
          <w:szCs w:val="24"/>
        </w:rPr>
        <w:t>над</w:t>
      </w:r>
      <w:r w:rsidR="003C162B" w:rsidRPr="00514438">
        <w:rPr>
          <w:rFonts w:ascii="Times New Roman" w:hAnsi="Times New Roman" w:cs="Times New Roman"/>
          <w:b/>
          <w:sz w:val="24"/>
          <w:szCs w:val="24"/>
        </w:rPr>
        <w:t>предметной</w:t>
      </w:r>
      <w:proofErr w:type="spellEnd"/>
      <w:r w:rsidRPr="00514438">
        <w:rPr>
          <w:rFonts w:ascii="Times New Roman" w:hAnsi="Times New Roman" w:cs="Times New Roman"/>
          <w:b/>
          <w:sz w:val="24"/>
          <w:szCs w:val="24"/>
        </w:rPr>
        <w:t xml:space="preserve"> цели и мониторинг качества знаний):</w:t>
      </w:r>
    </w:p>
    <w:p w:rsidR="00BA3A17" w:rsidRPr="00514438" w:rsidRDefault="00514438" w:rsidP="00D83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438">
        <w:rPr>
          <w:rFonts w:ascii="Times New Roman" w:hAnsi="Times New Roman" w:cs="Times New Roman"/>
          <w:b/>
          <w:sz w:val="24"/>
          <w:szCs w:val="24"/>
        </w:rPr>
        <w:t>Учитель</w:t>
      </w:r>
      <w:r w:rsidR="00BC750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</w:t>
      </w:r>
    </w:p>
    <w:sectPr w:rsidR="00BA3A17" w:rsidRPr="00514438" w:rsidSect="00F950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E52" w:rsidRDefault="00446E52" w:rsidP="00D310FD">
      <w:pPr>
        <w:spacing w:after="0" w:line="240" w:lineRule="auto"/>
      </w:pPr>
      <w:r>
        <w:separator/>
      </w:r>
    </w:p>
  </w:endnote>
  <w:endnote w:type="continuationSeparator" w:id="0">
    <w:p w:rsidR="00446E52" w:rsidRDefault="00446E52" w:rsidP="00D3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E52" w:rsidRDefault="00446E52" w:rsidP="00D310FD">
      <w:pPr>
        <w:spacing w:after="0" w:line="240" w:lineRule="auto"/>
      </w:pPr>
      <w:r>
        <w:separator/>
      </w:r>
    </w:p>
  </w:footnote>
  <w:footnote w:type="continuationSeparator" w:id="0">
    <w:p w:rsidR="00446E52" w:rsidRDefault="00446E52" w:rsidP="00D31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FD" w:rsidRPr="0096368C" w:rsidRDefault="00D310FD" w:rsidP="0096368C">
    <w:pPr>
      <w:pStyle w:val="a5"/>
    </w:pPr>
    <w:r w:rsidRPr="0096368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35487"/>
    <w:multiLevelType w:val="hybridMultilevel"/>
    <w:tmpl w:val="5EE4BE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5F024D"/>
    <w:multiLevelType w:val="hybridMultilevel"/>
    <w:tmpl w:val="E382B7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F65C2F"/>
    <w:multiLevelType w:val="hybridMultilevel"/>
    <w:tmpl w:val="7F30C2D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59961143"/>
    <w:multiLevelType w:val="hybridMultilevel"/>
    <w:tmpl w:val="F9B40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30CB5"/>
    <w:multiLevelType w:val="hybridMultilevel"/>
    <w:tmpl w:val="C37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F50A5"/>
    <w:multiLevelType w:val="hybridMultilevel"/>
    <w:tmpl w:val="1C44AF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74"/>
    <w:rsid w:val="000A1AF5"/>
    <w:rsid w:val="00281DDE"/>
    <w:rsid w:val="0029387C"/>
    <w:rsid w:val="003C162B"/>
    <w:rsid w:val="0041679C"/>
    <w:rsid w:val="00430AAC"/>
    <w:rsid w:val="00446E52"/>
    <w:rsid w:val="00491021"/>
    <w:rsid w:val="00514438"/>
    <w:rsid w:val="00534B20"/>
    <w:rsid w:val="005F1A94"/>
    <w:rsid w:val="00643C62"/>
    <w:rsid w:val="00791DE6"/>
    <w:rsid w:val="007E1F91"/>
    <w:rsid w:val="007E33C9"/>
    <w:rsid w:val="00856701"/>
    <w:rsid w:val="008739E9"/>
    <w:rsid w:val="008812D3"/>
    <w:rsid w:val="008C5A03"/>
    <w:rsid w:val="0096368C"/>
    <w:rsid w:val="00970D90"/>
    <w:rsid w:val="009C1CA7"/>
    <w:rsid w:val="00A55DA4"/>
    <w:rsid w:val="00A56611"/>
    <w:rsid w:val="00B14167"/>
    <w:rsid w:val="00B35BC5"/>
    <w:rsid w:val="00B41986"/>
    <w:rsid w:val="00B73BC6"/>
    <w:rsid w:val="00BA3A17"/>
    <w:rsid w:val="00BC7509"/>
    <w:rsid w:val="00C229DC"/>
    <w:rsid w:val="00C24F3D"/>
    <w:rsid w:val="00C87771"/>
    <w:rsid w:val="00CE7963"/>
    <w:rsid w:val="00D310FD"/>
    <w:rsid w:val="00D6383B"/>
    <w:rsid w:val="00D671A9"/>
    <w:rsid w:val="00D7784B"/>
    <w:rsid w:val="00D8304F"/>
    <w:rsid w:val="00DE1292"/>
    <w:rsid w:val="00E63DF7"/>
    <w:rsid w:val="00ED43C5"/>
    <w:rsid w:val="00EF77B0"/>
    <w:rsid w:val="00F830E1"/>
    <w:rsid w:val="00F95074"/>
    <w:rsid w:val="00FA5842"/>
    <w:rsid w:val="00FD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1BB4C-0CA4-4989-9DE6-8CFDFF1F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0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10FD"/>
  </w:style>
  <w:style w:type="paragraph" w:styleId="a7">
    <w:name w:val="footer"/>
    <w:basedOn w:val="a"/>
    <w:link w:val="a8"/>
    <w:uiPriority w:val="99"/>
    <w:unhideWhenUsed/>
    <w:rsid w:val="00D3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10FD"/>
  </w:style>
  <w:style w:type="paragraph" w:styleId="a9">
    <w:name w:val="Balloon Text"/>
    <w:basedOn w:val="a"/>
    <w:link w:val="aa"/>
    <w:uiPriority w:val="99"/>
    <w:semiHidden/>
    <w:unhideWhenUsed/>
    <w:rsid w:val="00D3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10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1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D6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71A9"/>
  </w:style>
  <w:style w:type="character" w:styleId="ac">
    <w:name w:val="Emphasis"/>
    <w:basedOn w:val="a0"/>
    <w:uiPriority w:val="20"/>
    <w:qFormat/>
    <w:rsid w:val="00D67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KarCPM1</cp:lastModifiedBy>
  <cp:revision>7</cp:revision>
  <cp:lastPrinted>2015-01-09T08:07:00Z</cp:lastPrinted>
  <dcterms:created xsi:type="dcterms:W3CDTF">2015-01-08T05:23:00Z</dcterms:created>
  <dcterms:modified xsi:type="dcterms:W3CDTF">2015-01-09T09:34:00Z</dcterms:modified>
</cp:coreProperties>
</file>